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tabs>
          <w:tab w:val="left" w:pos="312"/>
        </w:tabs>
        <w:kinsoku/>
        <w:wordWrap/>
        <w:overflowPunct/>
        <w:topLinePunct w:val="0"/>
        <w:autoSpaceDE/>
        <w:autoSpaceDN/>
        <w:bidi w:val="0"/>
        <w:adjustRightInd/>
        <w:snapToGrid w:val="0"/>
        <w:spacing w:line="560" w:lineRule="exact"/>
        <w:jc w:val="center"/>
        <w:textAlignment w:val="auto"/>
        <w:outlineLvl w:val="0"/>
        <w:rPr>
          <w:rFonts w:ascii="小标宋" w:hAnsi="楷体" w:eastAsia="小标宋" w:cs="宋体"/>
          <w:color w:val="000000" w:themeColor="text1"/>
          <w:kern w:val="0"/>
          <w:sz w:val="44"/>
          <w:szCs w:val="44"/>
          <w:shd w:val="clear" w:color="auto" w:fill="FFFFFF"/>
          <w14:textFill>
            <w14:solidFill>
              <w14:schemeClr w14:val="tx1"/>
            </w14:solidFill>
          </w14:textFill>
        </w:rPr>
      </w:pPr>
      <w:r>
        <w:rPr>
          <w:rFonts w:ascii="小标宋" w:hAnsi="楷体" w:eastAsia="小标宋" w:cs="宋体"/>
          <w:color w:val="000000" w:themeColor="text1"/>
          <w:kern w:val="0"/>
          <w:sz w:val="44"/>
          <w:szCs w:val="44"/>
          <w:shd w:val="clear" w:color="auto" w:fill="FFFFFF"/>
          <w14:textFill>
            <w14:solidFill>
              <w14:schemeClr w14:val="tx1"/>
            </w14:solidFill>
          </w14:textFill>
        </w:rPr>
        <w:t>2023</w:t>
      </w:r>
      <w:r>
        <w:rPr>
          <w:rFonts w:hint="eastAsia" w:ascii="小标宋" w:hAnsi="楷体" w:eastAsia="小标宋" w:cs="宋体"/>
          <w:color w:val="000000" w:themeColor="text1"/>
          <w:kern w:val="0"/>
          <w:sz w:val="44"/>
          <w:szCs w:val="44"/>
          <w:shd w:val="clear" w:color="auto" w:fill="FFFFFF"/>
          <w:lang w:eastAsia="zh-Hans"/>
          <w14:textFill>
            <w14:solidFill>
              <w14:schemeClr w14:val="tx1"/>
            </w14:solidFill>
          </w14:textFill>
        </w:rPr>
        <w:t>年</w:t>
      </w:r>
      <w:r>
        <w:rPr>
          <w:rFonts w:hint="eastAsia" w:ascii="小标宋" w:hAnsi="楷体" w:eastAsia="小标宋" w:cs="宋体"/>
          <w:color w:val="000000" w:themeColor="text1"/>
          <w:kern w:val="0"/>
          <w:sz w:val="44"/>
          <w:szCs w:val="44"/>
          <w:shd w:val="clear" w:color="auto" w:fill="FFFFFF"/>
          <w14:textFill>
            <w14:solidFill>
              <w14:schemeClr w14:val="tx1"/>
            </w14:solidFill>
          </w14:textFill>
        </w:rPr>
        <w:t>中国科协创新战略研究院第</w:t>
      </w:r>
      <w:r>
        <w:rPr>
          <w:rFonts w:hint="eastAsia" w:ascii="小标宋" w:hAnsi="楷体" w:eastAsia="小标宋" w:cs="宋体"/>
          <w:color w:val="000000" w:themeColor="text1"/>
          <w:kern w:val="0"/>
          <w:sz w:val="44"/>
          <w:szCs w:val="44"/>
          <w:shd w:val="clear" w:color="auto" w:fill="FFFFFF"/>
          <w:lang w:val="en-US" w:eastAsia="zh-CN"/>
          <w14:textFill>
            <w14:solidFill>
              <w14:schemeClr w14:val="tx1"/>
            </w14:solidFill>
          </w14:textFill>
        </w:rPr>
        <w:t>八</w:t>
      </w:r>
      <w:r>
        <w:rPr>
          <w:rFonts w:hint="eastAsia" w:ascii="小标宋" w:hAnsi="楷体" w:eastAsia="小标宋" w:cs="宋体"/>
          <w:color w:val="000000" w:themeColor="text1"/>
          <w:kern w:val="0"/>
          <w:sz w:val="44"/>
          <w:szCs w:val="44"/>
          <w:shd w:val="clear" w:color="auto" w:fill="FFFFFF"/>
          <w14:textFill>
            <w14:solidFill>
              <w14:schemeClr w14:val="tx1"/>
            </w14:solidFill>
          </w14:textFill>
        </w:rPr>
        <w:t>批</w:t>
      </w:r>
    </w:p>
    <w:p>
      <w:pPr>
        <w:keepNext w:val="0"/>
        <w:keepLines w:val="0"/>
        <w:pageBreakBefore w:val="0"/>
        <w:widowControl/>
        <w:shd w:val="clear" w:color="auto" w:fill="FFFFFF"/>
        <w:tabs>
          <w:tab w:val="left" w:pos="312"/>
        </w:tabs>
        <w:kinsoku/>
        <w:wordWrap/>
        <w:overflowPunct/>
        <w:topLinePunct w:val="0"/>
        <w:autoSpaceDE/>
        <w:autoSpaceDN/>
        <w:bidi w:val="0"/>
        <w:adjustRightInd/>
        <w:snapToGrid w:val="0"/>
        <w:spacing w:line="560" w:lineRule="exact"/>
        <w:jc w:val="center"/>
        <w:textAlignment w:val="auto"/>
        <w:outlineLvl w:val="0"/>
        <w:rPr>
          <w:rFonts w:ascii="小标宋" w:hAnsi="楷体" w:eastAsia="小标宋" w:cs="宋体"/>
          <w:color w:val="000000" w:themeColor="text1"/>
          <w:kern w:val="0"/>
          <w:sz w:val="44"/>
          <w:szCs w:val="44"/>
          <w:shd w:val="clear" w:color="auto" w:fill="FFFFFF"/>
          <w14:textFill>
            <w14:solidFill>
              <w14:schemeClr w14:val="tx1"/>
            </w14:solidFill>
          </w14:textFill>
        </w:rPr>
      </w:pPr>
      <w:r>
        <w:rPr>
          <w:rFonts w:hint="eastAsia" w:ascii="小标宋" w:hAnsi="楷体" w:eastAsia="小标宋" w:cs="宋体"/>
          <w:color w:val="000000" w:themeColor="text1"/>
          <w:kern w:val="0"/>
          <w:sz w:val="44"/>
          <w:szCs w:val="44"/>
          <w:shd w:val="clear" w:color="auto" w:fill="FFFFFF"/>
          <w14:textFill>
            <w14:solidFill>
              <w14:schemeClr w14:val="tx1"/>
            </w14:solidFill>
          </w14:textFill>
        </w:rPr>
        <w:t>科研项目选题目录</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Calibri" w:hAnsi="Calibri" w:eastAsia="楷体" w:cs="Times New Roman"/>
          <w:b/>
          <w:bCs/>
          <w:kern w:val="0"/>
          <w:sz w:val="32"/>
          <w:szCs w:val="32"/>
          <w:lang w:val="en-US" w:eastAsia="zh-CN"/>
        </w:rPr>
      </w:pPr>
      <w:r>
        <w:rPr>
          <w:rFonts w:hint="eastAsia" w:ascii="Calibri" w:hAnsi="Calibri" w:eastAsia="楷体" w:cs="Times New Roman"/>
          <w:b/>
          <w:bCs/>
          <w:kern w:val="0"/>
          <w:sz w:val="32"/>
          <w:szCs w:val="32"/>
          <w:lang w:val="en-US" w:eastAsia="zh-CN"/>
        </w:rPr>
        <w:t>题目1：新形势下我国科技工作者国际交流现状及对策研究</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Calibri" w:hAnsi="Calibri" w:eastAsia="楷体" w:cs="Times New Roman"/>
          <w:b/>
          <w:bCs/>
          <w:kern w:val="0"/>
          <w:sz w:val="32"/>
          <w:szCs w:val="32"/>
          <w:lang w:val="en-US" w:eastAsia="zh-CN"/>
        </w:rPr>
      </w:pPr>
      <w:r>
        <w:rPr>
          <w:rFonts w:hint="eastAsia" w:ascii="Calibri" w:hAnsi="Calibri" w:eastAsia="楷体" w:cs="Times New Roman"/>
          <w:b/>
          <w:bCs/>
          <w:kern w:val="0"/>
          <w:sz w:val="32"/>
          <w:szCs w:val="32"/>
          <w:lang w:val="en-US" w:eastAsia="zh-CN"/>
        </w:rPr>
        <w:t>研究内容：</w:t>
      </w:r>
      <w:r>
        <w:rPr>
          <w:rFonts w:hint="eastAsia" w:ascii="仿宋_GB2312" w:hAnsi="仿宋_GB2312" w:eastAsia="仿宋_GB2312" w:cs="仿宋_GB2312"/>
          <w:sz w:val="32"/>
          <w:szCs w:val="32"/>
          <w:lang w:val="en-US" w:eastAsia="zh-CN"/>
        </w:rPr>
        <w:t>百年未有之大变局之下，以</w:t>
      </w:r>
      <w:r>
        <w:rPr>
          <w:rFonts w:hint="eastAsia" w:ascii="仿宋_GB2312" w:hAnsi="仿宋_GB2312" w:eastAsia="仿宋_GB2312" w:cs="仿宋_GB2312"/>
          <w:sz w:val="32"/>
          <w:szCs w:val="32"/>
        </w:rPr>
        <w:t>跨国科学技术交流合作</w:t>
      </w:r>
      <w:r>
        <w:rPr>
          <w:rFonts w:hint="eastAsia" w:ascii="仿宋_GB2312" w:hAnsi="仿宋_GB2312" w:eastAsia="仿宋_GB2312" w:cs="仿宋_GB2312"/>
          <w:sz w:val="32"/>
          <w:szCs w:val="32"/>
          <w:lang w:val="en-US" w:eastAsia="zh-CN"/>
        </w:rPr>
        <w:t>来</w:t>
      </w:r>
      <w:r>
        <w:rPr>
          <w:rFonts w:hint="eastAsia" w:ascii="仿宋_GB2312" w:hAnsi="仿宋_GB2312" w:eastAsia="仿宋_GB2312" w:cs="仿宋_GB2312"/>
          <w:sz w:val="32"/>
          <w:szCs w:val="32"/>
        </w:rPr>
        <w:t>应对全球性挑战</w:t>
      </w:r>
      <w:r>
        <w:rPr>
          <w:rFonts w:hint="eastAsia" w:ascii="仿宋_GB2312" w:hAnsi="仿宋_GB2312" w:eastAsia="仿宋_GB2312" w:cs="仿宋_GB2312"/>
          <w:sz w:val="32"/>
          <w:szCs w:val="32"/>
          <w:lang w:val="en-US" w:eastAsia="zh-CN"/>
        </w:rPr>
        <w:t>的需求</w:t>
      </w:r>
      <w:r>
        <w:rPr>
          <w:rFonts w:hint="eastAsia" w:ascii="仿宋_GB2312" w:hAnsi="仿宋_GB2312" w:eastAsia="仿宋_GB2312" w:cs="仿宋_GB2312"/>
          <w:sz w:val="32"/>
          <w:szCs w:val="32"/>
        </w:rPr>
        <w:t>日益迫切。立足当前我国对外科技交流合作</w:t>
      </w:r>
      <w:r>
        <w:rPr>
          <w:rFonts w:hint="eastAsia" w:ascii="仿宋_GB2312" w:hAnsi="仿宋_GB2312" w:eastAsia="仿宋_GB2312" w:cs="仿宋_GB2312"/>
          <w:sz w:val="32"/>
          <w:szCs w:val="32"/>
          <w:lang w:val="en-US" w:eastAsia="zh-CN"/>
        </w:rPr>
        <w:t>出现</w:t>
      </w:r>
      <w:r>
        <w:rPr>
          <w:rFonts w:hint="eastAsia" w:ascii="仿宋_GB2312" w:hAnsi="仿宋_GB2312" w:eastAsia="仿宋_GB2312" w:cs="仿宋_GB2312"/>
          <w:sz w:val="32"/>
          <w:szCs w:val="32"/>
        </w:rPr>
        <w:t>的新形势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新特点，</w:t>
      </w:r>
      <w:r>
        <w:rPr>
          <w:rFonts w:hint="eastAsia" w:ascii="仿宋_GB2312" w:hAnsi="仿宋_GB2312" w:eastAsia="仿宋_GB2312" w:cs="仿宋_GB2312"/>
          <w:sz w:val="32"/>
          <w:szCs w:val="32"/>
        </w:rPr>
        <w:t>本项目针对典型高校、企业、科研院所等不同类型机构中科技工作者对外科技交流现状进行访谈，了解当前科技工作者国际交流现状，通过若干深度访谈案例，反映不同学科、不同领域、不同类型科技工作者国际交流现状（顺畅或受阻）的共性与差异性，分析成因，并提出对策建议。</w:t>
      </w:r>
    </w:p>
    <w:p>
      <w:pPr>
        <w:keepNext w:val="0"/>
        <w:keepLines w:val="0"/>
        <w:pageBreakBefore w:val="0"/>
        <w:kinsoku/>
        <w:wordWrap/>
        <w:overflowPunct/>
        <w:topLinePunct w:val="0"/>
        <w:autoSpaceDE/>
        <w:autoSpaceDN/>
        <w:bidi w:val="0"/>
        <w:adjustRightInd/>
        <w:spacing w:line="560" w:lineRule="exact"/>
        <w:textAlignment w:val="auto"/>
        <w:rPr>
          <w:rFonts w:eastAsia="楷体"/>
          <w:b/>
          <w:bCs/>
          <w:kern w:val="0"/>
          <w:sz w:val="32"/>
          <w:szCs w:val="32"/>
        </w:rPr>
      </w:pPr>
      <w:r>
        <w:rPr>
          <w:rFonts w:hint="eastAsia" w:eastAsia="楷体"/>
          <w:b/>
          <w:bCs/>
          <w:kern w:val="0"/>
          <w:sz w:val="32"/>
          <w:szCs w:val="32"/>
        </w:rPr>
        <w:t>研究期限：</w:t>
      </w:r>
      <w:r>
        <w:rPr>
          <w:rFonts w:hint="eastAsia" w:ascii="楷体" w:hAnsi="楷体" w:eastAsia="楷体"/>
          <w:sz w:val="32"/>
          <w:szCs w:val="32"/>
        </w:rPr>
        <w:t>202</w:t>
      </w:r>
      <w:r>
        <w:rPr>
          <w:rFonts w:hint="eastAsia" w:ascii="楷体" w:hAnsi="楷体" w:eastAsia="楷体"/>
          <w:sz w:val="32"/>
          <w:szCs w:val="32"/>
          <w:lang w:val="en-US" w:eastAsia="zh-CN"/>
        </w:rPr>
        <w:t>3</w:t>
      </w:r>
      <w:r>
        <w:rPr>
          <w:rFonts w:hint="eastAsia" w:ascii="楷体" w:hAnsi="楷体" w:eastAsia="楷体"/>
          <w:sz w:val="32"/>
          <w:szCs w:val="32"/>
        </w:rPr>
        <w:t>年</w:t>
      </w:r>
      <w:r>
        <w:rPr>
          <w:rFonts w:hint="eastAsia" w:ascii="楷体" w:hAnsi="楷体" w:eastAsia="楷体"/>
          <w:sz w:val="32"/>
          <w:szCs w:val="32"/>
          <w:lang w:val="en-US" w:eastAsia="zh-CN"/>
        </w:rPr>
        <w:t>11</w:t>
      </w:r>
      <w:r>
        <w:rPr>
          <w:rFonts w:hint="eastAsia" w:ascii="楷体" w:hAnsi="楷体" w:eastAsia="楷体"/>
          <w:sz w:val="32"/>
          <w:szCs w:val="32"/>
        </w:rPr>
        <w:t>月至202</w:t>
      </w:r>
      <w:r>
        <w:rPr>
          <w:rFonts w:hint="eastAsia" w:ascii="楷体" w:hAnsi="楷体" w:eastAsia="楷体"/>
          <w:sz w:val="32"/>
          <w:szCs w:val="32"/>
          <w:lang w:val="en-US" w:eastAsia="zh-CN"/>
        </w:rPr>
        <w:t>4</w:t>
      </w:r>
      <w:r>
        <w:rPr>
          <w:rFonts w:hint="eastAsia" w:ascii="楷体" w:hAnsi="楷体" w:eastAsia="楷体"/>
          <w:sz w:val="32"/>
          <w:szCs w:val="32"/>
        </w:rPr>
        <w:t>年</w:t>
      </w:r>
      <w:r>
        <w:rPr>
          <w:rFonts w:hint="eastAsia" w:ascii="楷体" w:hAnsi="楷体" w:eastAsia="楷体"/>
          <w:sz w:val="32"/>
          <w:szCs w:val="32"/>
          <w:lang w:val="en-US" w:eastAsia="zh-CN"/>
        </w:rPr>
        <w:t>5</w:t>
      </w:r>
      <w:bookmarkStart w:id="0" w:name="_GoBack"/>
      <w:bookmarkEnd w:id="0"/>
      <w:r>
        <w:rPr>
          <w:rFonts w:hint="eastAsia" w:ascii="楷体" w:hAnsi="楷体" w:eastAsia="楷体"/>
          <w:sz w:val="32"/>
          <w:szCs w:val="32"/>
        </w:rPr>
        <w:t>月</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sz w:val="32"/>
          <w:szCs w:val="32"/>
        </w:rPr>
      </w:pPr>
      <w:r>
        <w:rPr>
          <w:rFonts w:hint="eastAsia" w:eastAsia="楷体"/>
          <w:b/>
          <w:bCs/>
          <w:kern w:val="0"/>
          <w:sz w:val="32"/>
          <w:szCs w:val="32"/>
        </w:rPr>
        <w:t>研究经费：</w:t>
      </w:r>
      <w:r>
        <w:rPr>
          <w:rFonts w:hint="eastAsia" w:ascii="楷体" w:hAnsi="楷体" w:eastAsia="楷体"/>
          <w:sz w:val="32"/>
          <w:szCs w:val="32"/>
        </w:rPr>
        <w:t>≤</w:t>
      </w:r>
      <w:r>
        <w:rPr>
          <w:rFonts w:hint="eastAsia" w:ascii="楷体" w:hAnsi="楷体" w:eastAsia="楷体"/>
          <w:sz w:val="32"/>
          <w:szCs w:val="32"/>
          <w:lang w:val="en-US" w:eastAsia="zh-CN"/>
        </w:rPr>
        <w:t>25</w:t>
      </w:r>
      <w:r>
        <w:rPr>
          <w:rFonts w:hint="eastAsia" w:ascii="楷体" w:hAnsi="楷体" w:eastAsia="楷体"/>
          <w:sz w:val="32"/>
          <w:szCs w:val="32"/>
        </w:rPr>
        <w:t>万</w:t>
      </w:r>
    </w:p>
    <w:p>
      <w:pPr>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color w:val="000000"/>
          <w:sz w:val="32"/>
          <w:szCs w:val="32"/>
        </w:rPr>
      </w:pPr>
      <w:r>
        <w:rPr>
          <w:rFonts w:hint="eastAsia" w:eastAsia="楷体"/>
          <w:b/>
          <w:bCs/>
          <w:kern w:val="0"/>
          <w:sz w:val="32"/>
          <w:szCs w:val="32"/>
        </w:rPr>
        <w:t>申报对象：</w:t>
      </w:r>
      <w:r>
        <w:rPr>
          <w:rFonts w:hint="eastAsia" w:ascii="仿宋_GB2312" w:hAnsi="宋体" w:eastAsia="仿宋_GB2312" w:cs="宋体"/>
          <w:color w:val="000000"/>
          <w:sz w:val="32"/>
          <w:szCs w:val="32"/>
        </w:rPr>
        <w:t>中国科协所属学会、协会、研究会，各省、自治区、直辖市、副省级城市科协，新疆生产建设兵团科协，具有独立法人资格的高校、科研院所等，有充分的相关研究基础或工作基础。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eastAsia="楷体"/>
          <w:b/>
          <w:bCs/>
          <w:kern w:val="0"/>
          <w:sz w:val="32"/>
          <w:szCs w:val="32"/>
        </w:rPr>
        <w:t>预期成果：</w:t>
      </w:r>
      <w:r>
        <w:rPr>
          <w:rFonts w:hint="eastAsia" w:ascii="仿宋_GB2312" w:eastAsia="仿宋_GB2312"/>
          <w:sz w:val="32"/>
          <w:szCs w:val="32"/>
        </w:rPr>
        <w:t>研究报告1份</w:t>
      </w:r>
      <w:r>
        <w:rPr>
          <w:rFonts w:hint="eastAsia" w:ascii="仿宋_GB2312" w:eastAsia="仿宋_GB2312"/>
          <w:sz w:val="32"/>
          <w:szCs w:val="32"/>
          <w:lang w:eastAsia="zh-CN"/>
        </w:rPr>
        <w:t>；</w:t>
      </w:r>
      <w:r>
        <w:rPr>
          <w:rFonts w:hint="eastAsia" w:ascii="仿宋_GB2312" w:eastAsia="仿宋_GB2312"/>
          <w:sz w:val="32"/>
          <w:szCs w:val="32"/>
          <w:lang w:val="en-US" w:eastAsia="zh-CN"/>
        </w:rPr>
        <w:t>政策建议</w:t>
      </w:r>
      <w:r>
        <w:rPr>
          <w:rFonts w:hint="eastAsia" w:ascii="仿宋_GB2312" w:eastAsia="仿宋_GB2312"/>
          <w:sz w:val="32"/>
          <w:szCs w:val="32"/>
        </w:rPr>
        <w:t>专报</w:t>
      </w:r>
      <w:r>
        <w:rPr>
          <w:rFonts w:hint="eastAsia" w:ascii="仿宋_GB2312" w:eastAsia="仿宋_GB2312"/>
          <w:sz w:val="32"/>
          <w:szCs w:val="32"/>
          <w:lang w:val="en-US" w:eastAsia="zh-CN"/>
        </w:rPr>
        <w:t>1</w:t>
      </w:r>
      <w:r>
        <w:rPr>
          <w:rFonts w:hint="eastAsia" w:ascii="仿宋_GB2312" w:eastAsia="仿宋_GB2312"/>
          <w:sz w:val="32"/>
          <w:szCs w:val="32"/>
        </w:rPr>
        <w:t>份</w:t>
      </w:r>
      <w:r>
        <w:rPr>
          <w:rFonts w:hint="eastAsia" w:ascii="仿宋_GB2312" w:eastAsia="仿宋_GB2312"/>
          <w:sz w:val="32"/>
          <w:szCs w:val="32"/>
          <w:lang w:eastAsia="zh-CN"/>
        </w:rPr>
        <w:t>；</w:t>
      </w:r>
      <w:r>
        <w:rPr>
          <w:rFonts w:hint="eastAsia" w:ascii="仿宋_GB2312" w:eastAsia="仿宋_GB2312"/>
          <w:sz w:val="32"/>
          <w:szCs w:val="32"/>
          <w:lang w:val="en-US" w:eastAsia="zh-CN"/>
        </w:rPr>
        <w:t>访谈记录1份</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b/>
          <w:bCs/>
          <w:kern w:val="0"/>
          <w:sz w:val="32"/>
          <w:szCs w:val="32"/>
        </w:rPr>
      </w:pPr>
      <w:r>
        <w:rPr>
          <w:rFonts w:hint="eastAsia" w:ascii="楷体" w:hAnsi="楷体" w:eastAsia="楷体" w:cs="楷体"/>
          <w:b/>
          <w:bCs/>
          <w:kern w:val="0"/>
          <w:sz w:val="32"/>
          <w:szCs w:val="32"/>
        </w:rPr>
        <w:t>题目</w:t>
      </w:r>
      <w:r>
        <w:rPr>
          <w:rFonts w:hint="eastAsia" w:ascii="楷体" w:hAnsi="楷体" w:eastAsia="楷体" w:cs="楷体"/>
          <w:b/>
          <w:bCs/>
          <w:kern w:val="0"/>
          <w:sz w:val="32"/>
          <w:szCs w:val="32"/>
          <w:lang w:val="en-US" w:eastAsia="zh-CN"/>
        </w:rPr>
        <w:t>2</w:t>
      </w:r>
      <w:r>
        <w:rPr>
          <w:rFonts w:hint="eastAsia" w:ascii="楷体" w:hAnsi="楷体" w:eastAsia="楷体" w:cs="楷体"/>
          <w:b/>
          <w:bCs/>
          <w:kern w:val="0"/>
          <w:sz w:val="32"/>
          <w:szCs w:val="32"/>
        </w:rPr>
        <w:t>：基于工业遗产保护名录的工程师成长案例研究</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eastAsia="楷体"/>
          <w:b/>
          <w:bCs/>
          <w:kern w:val="0"/>
          <w:sz w:val="32"/>
          <w:szCs w:val="32"/>
        </w:rPr>
        <w:t>研究内容：</w:t>
      </w:r>
      <w:r>
        <w:rPr>
          <w:rFonts w:hint="eastAsia" w:ascii="仿宋_GB2312" w:eastAsia="仿宋_GB2312"/>
          <w:bCs/>
          <w:kern w:val="0"/>
          <w:sz w:val="32"/>
          <w:szCs w:val="32"/>
        </w:rPr>
        <w:t>二十大报告提出：“加快建设国家战略人才力量，努力培养造就更多卓越工程师、大国工匠、高技能人才。”，并将“培育创新文化，弘扬科学家精神”作为实施科教兴国战略的重点任务。工业遗产背景下的工程师群体是国家科技发展的中坚力量，工程师成长经历的挖掘与传播是培育创新文化、宣传国家战略人才的重要抓手，对于落实二十大报告精神、讲好中国工业遗产故事具有重要意义。</w:t>
      </w:r>
      <w:r>
        <w:rPr>
          <w:rFonts w:hint="eastAsia" w:ascii="仿宋_GB2312" w:eastAsia="仿宋_GB2312"/>
          <w:sz w:val="32"/>
          <w:szCs w:val="32"/>
        </w:rPr>
        <w:t>本项目拟重点关注基于中国科协发布的第一批、第二批工业遗产保护名录下的工程师群体，明确杰出工程师的遴选标准；并根据标准遴选出1</w:t>
      </w:r>
      <w:r>
        <w:rPr>
          <w:rFonts w:ascii="仿宋_GB2312" w:eastAsia="仿宋_GB2312"/>
          <w:sz w:val="32"/>
          <w:szCs w:val="32"/>
        </w:rPr>
        <w:t>5</w:t>
      </w:r>
      <w:r>
        <w:rPr>
          <w:rFonts w:hint="eastAsia" w:ascii="仿宋_GB2312" w:eastAsia="仿宋_GB2312"/>
          <w:sz w:val="32"/>
          <w:szCs w:val="32"/>
        </w:rPr>
        <w:t>0-</w:t>
      </w:r>
      <w:r>
        <w:rPr>
          <w:rFonts w:ascii="仿宋_GB2312" w:eastAsia="仿宋_GB2312"/>
          <w:sz w:val="32"/>
          <w:szCs w:val="32"/>
        </w:rPr>
        <w:t>200</w:t>
      </w:r>
      <w:r>
        <w:rPr>
          <w:rFonts w:hint="eastAsia" w:ascii="仿宋_GB2312" w:eastAsia="仿宋_GB2312"/>
          <w:sz w:val="32"/>
          <w:szCs w:val="32"/>
        </w:rPr>
        <w:t>位杰出工程师，按一定体例研究并撰写工程师重要事迹，</w:t>
      </w:r>
      <w:r>
        <w:rPr>
          <w:rFonts w:hint="eastAsia" w:ascii="仿宋_GB2312" w:eastAsia="仿宋_GB2312"/>
          <w:bCs/>
          <w:kern w:val="0"/>
          <w:sz w:val="32"/>
          <w:szCs w:val="32"/>
        </w:rPr>
        <w:t>更加深入、全面地刻画中国工程师形象，向全社会讲好更加丰富、立体的工程师故事。</w:t>
      </w:r>
    </w:p>
    <w:p>
      <w:pPr>
        <w:keepNext w:val="0"/>
        <w:keepLines w:val="0"/>
        <w:pageBreakBefore w:val="0"/>
        <w:kinsoku/>
        <w:wordWrap/>
        <w:overflowPunct/>
        <w:topLinePunct w:val="0"/>
        <w:autoSpaceDE/>
        <w:autoSpaceDN/>
        <w:bidi w:val="0"/>
        <w:adjustRightInd/>
        <w:spacing w:line="560" w:lineRule="exact"/>
        <w:textAlignment w:val="auto"/>
        <w:rPr>
          <w:rFonts w:eastAsia="楷体"/>
          <w:b/>
          <w:bCs/>
          <w:kern w:val="0"/>
          <w:sz w:val="32"/>
          <w:szCs w:val="32"/>
        </w:rPr>
      </w:pPr>
      <w:r>
        <w:rPr>
          <w:rFonts w:hint="eastAsia" w:eastAsia="楷体"/>
          <w:b/>
          <w:bCs/>
          <w:kern w:val="0"/>
          <w:sz w:val="32"/>
          <w:szCs w:val="32"/>
        </w:rPr>
        <w:t>研究期限：</w:t>
      </w:r>
      <w:r>
        <w:rPr>
          <w:rFonts w:hint="eastAsia" w:ascii="楷体" w:hAnsi="楷体" w:eastAsia="楷体"/>
          <w:sz w:val="32"/>
          <w:szCs w:val="32"/>
        </w:rPr>
        <w:t>2023年11月至2024年5月</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sz w:val="32"/>
          <w:szCs w:val="32"/>
        </w:rPr>
      </w:pPr>
      <w:r>
        <w:rPr>
          <w:rFonts w:hint="eastAsia" w:eastAsia="楷体"/>
          <w:b/>
          <w:bCs/>
          <w:kern w:val="0"/>
          <w:sz w:val="32"/>
          <w:szCs w:val="32"/>
        </w:rPr>
        <w:t>研究经费：</w:t>
      </w:r>
      <w:r>
        <w:rPr>
          <w:rFonts w:hint="eastAsia" w:ascii="楷体" w:hAnsi="楷体" w:eastAsia="楷体"/>
          <w:sz w:val="32"/>
          <w:szCs w:val="32"/>
        </w:rPr>
        <w:t>≤</w:t>
      </w:r>
      <w:r>
        <w:rPr>
          <w:rFonts w:ascii="楷体" w:hAnsi="楷体" w:eastAsia="楷体"/>
          <w:sz w:val="32"/>
          <w:szCs w:val="32"/>
        </w:rPr>
        <w:t>5</w:t>
      </w:r>
      <w:r>
        <w:rPr>
          <w:rFonts w:hint="eastAsia" w:ascii="楷体" w:hAnsi="楷体" w:eastAsia="楷体"/>
          <w:sz w:val="32"/>
          <w:szCs w:val="32"/>
        </w:rPr>
        <w:t>0万</w:t>
      </w:r>
    </w:p>
    <w:p>
      <w:pPr>
        <w:keepNext w:val="0"/>
        <w:keepLines w:val="0"/>
        <w:pageBreakBefore w:val="0"/>
        <w:kinsoku/>
        <w:wordWrap/>
        <w:overflowPunct/>
        <w:topLinePunct w:val="0"/>
        <w:autoSpaceDE/>
        <w:autoSpaceDN/>
        <w:bidi w:val="0"/>
        <w:adjustRightInd/>
        <w:spacing w:line="560" w:lineRule="exact"/>
        <w:textAlignment w:val="auto"/>
        <w:outlineLvl w:val="0"/>
        <w:rPr>
          <w:rFonts w:ascii="仿宋_GB2312" w:hAnsi="宋体" w:eastAsia="仿宋_GB2312" w:cs="Arial"/>
          <w:color w:val="333333"/>
          <w:kern w:val="0"/>
          <w:sz w:val="32"/>
          <w:szCs w:val="32"/>
        </w:rPr>
      </w:pPr>
      <w:r>
        <w:rPr>
          <w:rFonts w:hint="eastAsia" w:eastAsia="楷体"/>
          <w:b/>
          <w:bCs/>
          <w:kern w:val="0"/>
          <w:sz w:val="32"/>
          <w:szCs w:val="32"/>
        </w:rPr>
        <w:t>申报对象：</w:t>
      </w:r>
      <w:r>
        <w:rPr>
          <w:rFonts w:hint="eastAsia" w:ascii="仿宋_GB2312" w:hAnsi="宋体" w:eastAsia="仿宋_GB2312" w:cs="Arial"/>
          <w:color w:val="000000"/>
          <w:kern w:val="0"/>
          <w:sz w:val="32"/>
          <w:szCs w:val="32"/>
        </w:rPr>
        <w:t>中国科协所属学会、协会、研究会，各省、自治区、直辖市、副省级城市科协，新疆生产建设兵团科协，具有独立法人资格的高校、科研院所等</w:t>
      </w:r>
      <w:r>
        <w:rPr>
          <w:rFonts w:hint="eastAsia" w:ascii="仿宋_GB2312" w:eastAsia="仿宋_GB2312"/>
          <w:color w:val="000000"/>
          <w:sz w:val="32"/>
          <w:szCs w:val="32"/>
        </w:rPr>
        <w:t>，</w:t>
      </w:r>
      <w:r>
        <w:rPr>
          <w:rFonts w:hint="eastAsia" w:ascii="仿宋_GB2312" w:hAnsi="宋体" w:eastAsia="仿宋_GB2312" w:cs="Arial"/>
          <w:color w:val="000000"/>
          <w:kern w:val="0"/>
          <w:sz w:val="32"/>
          <w:szCs w:val="32"/>
        </w:rPr>
        <w:t>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eastAsia="楷体"/>
          <w:b/>
          <w:bCs/>
          <w:kern w:val="0"/>
          <w:sz w:val="32"/>
          <w:szCs w:val="32"/>
        </w:rPr>
        <w:t>预期成果：</w:t>
      </w:r>
      <w:r>
        <w:rPr>
          <w:rFonts w:hint="eastAsia" w:ascii="仿宋_GB2312" w:eastAsia="仿宋_GB2312"/>
          <w:sz w:val="32"/>
          <w:szCs w:val="32"/>
        </w:rPr>
        <w:t>《基于工业遗产保护名录的工程师遴选指标说明》1份；《基于工业遗产保护名录的工程师成长案例汇编》1份。</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eastAsia="楷体"/>
          <w:b/>
          <w:bCs/>
          <w:kern w:val="0"/>
          <w:sz w:val="32"/>
          <w:szCs w:val="32"/>
        </w:rPr>
      </w:pPr>
      <w:r>
        <w:rPr>
          <w:rFonts w:hint="eastAsia" w:eastAsia="楷体"/>
          <w:b/>
          <w:bCs/>
          <w:kern w:val="0"/>
          <w:sz w:val="32"/>
          <w:szCs w:val="32"/>
        </w:rPr>
        <w:t>题目</w:t>
      </w:r>
      <w:r>
        <w:rPr>
          <w:rFonts w:hint="eastAsia" w:eastAsia="楷体"/>
          <w:b/>
          <w:bCs/>
          <w:kern w:val="0"/>
          <w:sz w:val="32"/>
          <w:szCs w:val="32"/>
          <w:lang w:val="en-US" w:eastAsia="zh-CN"/>
        </w:rPr>
        <w:t>3</w:t>
      </w:r>
      <w:r>
        <w:rPr>
          <w:rFonts w:hint="eastAsia" w:eastAsia="楷体"/>
          <w:b/>
          <w:bCs/>
          <w:kern w:val="0"/>
          <w:sz w:val="32"/>
          <w:szCs w:val="32"/>
        </w:rPr>
        <w:t>：国内外生物医药产业数智化发展的路径研究</w:t>
      </w:r>
    </w:p>
    <w:p>
      <w:pPr>
        <w:keepNext w:val="0"/>
        <w:keepLines w:val="0"/>
        <w:pageBreakBefore w:val="0"/>
        <w:kinsoku/>
        <w:wordWrap/>
        <w:overflowPunct/>
        <w:topLinePunct w:val="0"/>
        <w:autoSpaceDE/>
        <w:autoSpaceDN/>
        <w:bidi w:val="0"/>
        <w:adjustRightInd/>
        <w:spacing w:line="560" w:lineRule="exact"/>
        <w:textAlignment w:val="auto"/>
      </w:pPr>
      <w:r>
        <w:rPr>
          <w:rFonts w:hint="eastAsia" w:eastAsia="楷体"/>
          <w:b/>
          <w:bCs/>
          <w:kern w:val="0"/>
          <w:sz w:val="32"/>
          <w:szCs w:val="32"/>
        </w:rPr>
        <w:t>研究内容：</w:t>
      </w:r>
      <w:r>
        <w:rPr>
          <w:rFonts w:hint="eastAsia" w:ascii="仿宋_GB2312" w:hAnsi="仿宋_GB2312" w:eastAsia="仿宋_GB2312" w:cs="仿宋_GB2312"/>
          <w:kern w:val="0"/>
          <w:sz w:val="32"/>
          <w:szCs w:val="32"/>
        </w:rPr>
        <w:t>新一代信息技术赋能生物医药产业带来的生物医药数字化转型，已经成为当前世界各国布局未来产业的热点。主要研究内容：全球主要国家推动生物医药产业数智化的国家战略及政策布局；生物医药产业数智化发展的特征及应用场景；我国生物医药产业数智化的发展现状及主要挑战；推动我国生物医药产业数智化转型的对策建议。</w:t>
      </w:r>
    </w:p>
    <w:p>
      <w:pPr>
        <w:keepNext w:val="0"/>
        <w:keepLines w:val="0"/>
        <w:pageBreakBefore w:val="0"/>
        <w:kinsoku/>
        <w:wordWrap/>
        <w:overflowPunct/>
        <w:topLinePunct w:val="0"/>
        <w:autoSpaceDE/>
        <w:autoSpaceDN/>
        <w:bidi w:val="0"/>
        <w:adjustRightInd/>
        <w:spacing w:line="560" w:lineRule="exact"/>
        <w:textAlignment w:val="auto"/>
      </w:pPr>
      <w:r>
        <w:rPr>
          <w:rFonts w:hint="eastAsia"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color w:val="000000" w:themeColor="text1"/>
          <w:kern w:val="0"/>
          <w:sz w:val="32"/>
          <w:szCs w:val="32"/>
          <w:shd w:val="clear" w:color="auto" w:fill="FFFFFF"/>
          <w14:textFill>
            <w14:solidFill>
              <w14:schemeClr w14:val="tx1"/>
            </w14:solidFill>
          </w14:textFill>
        </w:rPr>
      </w:pPr>
      <w:r>
        <w:rPr>
          <w:rFonts w:hint="eastAsia" w:eastAsia="楷体"/>
          <w:b/>
          <w:bCs/>
          <w:kern w:val="0"/>
          <w:sz w:val="32"/>
          <w:szCs w:val="32"/>
        </w:rPr>
        <w:t>研究经费：</w:t>
      </w:r>
      <w:r>
        <w:rPr>
          <w:rFonts w:hint="eastAsia" w:ascii="楷体" w:hAnsi="楷体" w:eastAsia="楷体"/>
          <w:sz w:val="32"/>
          <w:szCs w:val="32"/>
        </w:rPr>
        <w:t>≤30万</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color w:val="000000" w:themeColor="text1"/>
          <w:kern w:val="0"/>
          <w:sz w:val="32"/>
          <w:szCs w:val="32"/>
          <w:shd w:val="clear" w:color="auto" w:fill="FFFFFF"/>
          <w14:textFill>
            <w14:solidFill>
              <w14:schemeClr w14:val="tx1"/>
            </w14:solidFill>
          </w14:textFill>
        </w:rPr>
      </w:pPr>
      <w:r>
        <w:rPr>
          <w:rFonts w:hint="eastAsia" w:eastAsia="楷体"/>
          <w:b/>
          <w:bCs/>
          <w:kern w:val="0"/>
          <w:sz w:val="32"/>
          <w:szCs w:val="32"/>
        </w:rPr>
        <w:t>申报对象：</w:t>
      </w:r>
      <w:r>
        <w:rPr>
          <w:rFonts w:hint="eastAsia" w:ascii="仿宋_GB2312" w:hAnsi="宋体" w:eastAsia="仿宋_GB2312" w:cs="Arial"/>
          <w:color w:val="000000"/>
          <w:kern w:val="0"/>
          <w:sz w:val="32"/>
          <w:szCs w:val="32"/>
        </w:rPr>
        <w:t>中国科协所属学会、协会、研究会，各省、自治区、直辖市、副省级城市科协，新疆生产建设兵团科协，具有独立法人资格的高校、科研院所等</w:t>
      </w:r>
      <w:r>
        <w:rPr>
          <w:rFonts w:hint="eastAsia" w:ascii="仿宋_GB2312" w:eastAsia="仿宋_GB2312"/>
          <w:color w:val="000000"/>
          <w:sz w:val="30"/>
          <w:szCs w:val="30"/>
        </w:rPr>
        <w:t>，</w:t>
      </w:r>
      <w:r>
        <w:rPr>
          <w:rFonts w:hint="eastAsia" w:ascii="仿宋_GB2312" w:hAnsi="宋体" w:eastAsia="仿宋_GB2312" w:cs="Arial"/>
          <w:color w:val="000000"/>
          <w:kern w:val="0"/>
          <w:sz w:val="32"/>
          <w:szCs w:val="32"/>
        </w:rPr>
        <w:t>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Arial"/>
          <w:color w:val="000000"/>
          <w:kern w:val="0"/>
          <w:sz w:val="32"/>
          <w:szCs w:val="32"/>
        </w:rPr>
      </w:pPr>
      <w:r>
        <w:rPr>
          <w:rFonts w:hint="eastAsia" w:eastAsia="楷体"/>
          <w:b/>
          <w:bCs/>
          <w:kern w:val="0"/>
          <w:sz w:val="32"/>
          <w:szCs w:val="32"/>
        </w:rPr>
        <w:t>预期成果：</w:t>
      </w:r>
      <w:r>
        <w:rPr>
          <w:rFonts w:hint="eastAsia" w:ascii="仿宋_GB2312" w:eastAsia="仿宋_GB2312"/>
          <w:sz w:val="32"/>
          <w:szCs w:val="32"/>
        </w:rPr>
        <w:t>研究报告</w:t>
      </w:r>
      <w:r>
        <w:rPr>
          <w:rFonts w:ascii="仿宋_GB2312" w:eastAsia="仿宋_GB2312"/>
          <w:sz w:val="32"/>
          <w:szCs w:val="32"/>
        </w:rPr>
        <w:t>1</w:t>
      </w:r>
      <w:r>
        <w:rPr>
          <w:rFonts w:hint="eastAsia" w:ascii="仿宋_GB2312" w:eastAsia="仿宋_GB2312"/>
          <w:sz w:val="32"/>
          <w:szCs w:val="32"/>
          <w:lang w:val="en-US" w:eastAsia="zh-CN"/>
        </w:rPr>
        <w:t>份</w:t>
      </w:r>
      <w:r>
        <w:rPr>
          <w:rFonts w:hint="eastAsia" w:ascii="仿宋_GB2312" w:eastAsia="仿宋_GB2312"/>
          <w:sz w:val="32"/>
          <w:szCs w:val="32"/>
          <w:lang w:eastAsia="zh-CN"/>
        </w:rPr>
        <w:t>；</w:t>
      </w:r>
      <w:r>
        <w:rPr>
          <w:rFonts w:hint="eastAsia" w:ascii="仿宋_GB2312" w:eastAsia="仿宋_GB2312"/>
          <w:sz w:val="32"/>
          <w:szCs w:val="32"/>
          <w:lang w:val="en-US" w:eastAsia="zh-CN"/>
        </w:rPr>
        <w:t>政策建议</w:t>
      </w:r>
      <w:r>
        <w:rPr>
          <w:rFonts w:ascii="仿宋_GB2312" w:eastAsia="仿宋_GB2312"/>
          <w:sz w:val="32"/>
          <w:szCs w:val="32"/>
        </w:rPr>
        <w:t>专报2</w:t>
      </w:r>
      <w:r>
        <w:rPr>
          <w:rFonts w:hint="eastAsia" w:ascii="仿宋_GB2312" w:eastAsia="仿宋_GB2312"/>
          <w:sz w:val="32"/>
          <w:szCs w:val="32"/>
          <w:lang w:val="en-US" w:eastAsia="zh-CN"/>
        </w:rPr>
        <w:t>份</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楷体" w:hAnsi="楷体" w:eastAsia="楷体" w:cs="楷体"/>
          <w:color w:val="000000" w:themeColor="text1"/>
          <w:kern w:val="0"/>
          <w:sz w:val="32"/>
          <w:szCs w:val="32"/>
          <w:shd w:val="clear" w:color="auto" w:fill="FFFFFF"/>
          <w14:textFill>
            <w14:solidFill>
              <w14:schemeClr w14:val="tx1"/>
            </w14:solidFill>
          </w14:textFill>
        </w:rPr>
      </w:pPr>
    </w:p>
    <w:p>
      <w:pPr>
        <w:keepNext w:val="0"/>
        <w:keepLines w:val="0"/>
        <w:pageBreakBefore w:val="0"/>
        <w:kinsoku/>
        <w:wordWrap/>
        <w:overflowPunct/>
        <w:topLinePunct w:val="0"/>
        <w:autoSpaceDE/>
        <w:autoSpaceDN/>
        <w:bidi w:val="0"/>
        <w:adjustRightInd/>
        <w:spacing w:line="560" w:lineRule="exact"/>
        <w:textAlignment w:val="auto"/>
        <w:rPr>
          <w:rFonts w:eastAsia="楷体"/>
          <w:b/>
          <w:bCs/>
          <w:kern w:val="0"/>
          <w:sz w:val="32"/>
          <w:szCs w:val="32"/>
        </w:rPr>
      </w:pPr>
      <w:r>
        <w:rPr>
          <w:rFonts w:hint="eastAsia" w:eastAsia="楷体"/>
          <w:b/>
          <w:bCs/>
          <w:kern w:val="0"/>
          <w:sz w:val="32"/>
          <w:szCs w:val="32"/>
        </w:rPr>
        <w:t>题目</w:t>
      </w:r>
      <w:r>
        <w:rPr>
          <w:rFonts w:hint="eastAsia" w:eastAsia="楷体"/>
          <w:b/>
          <w:bCs/>
          <w:kern w:val="0"/>
          <w:sz w:val="32"/>
          <w:szCs w:val="32"/>
          <w:lang w:val="en-US" w:eastAsia="zh-CN"/>
        </w:rPr>
        <w:t>4</w:t>
      </w:r>
      <w:r>
        <w:rPr>
          <w:rFonts w:hint="eastAsia" w:eastAsia="楷体"/>
          <w:b/>
          <w:bCs/>
          <w:kern w:val="0"/>
          <w:sz w:val="32"/>
          <w:szCs w:val="32"/>
        </w:rPr>
        <w:t>：全球量子信息产业布局及发展路径研究</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kern w:val="0"/>
          <w:sz w:val="32"/>
          <w:szCs w:val="32"/>
        </w:rPr>
      </w:pPr>
      <w:r>
        <w:rPr>
          <w:rFonts w:hint="eastAsia" w:eastAsia="楷体"/>
          <w:b/>
          <w:bCs/>
          <w:kern w:val="0"/>
          <w:sz w:val="32"/>
          <w:szCs w:val="32"/>
        </w:rPr>
        <w:t>研究内容：</w:t>
      </w:r>
      <w:r>
        <w:rPr>
          <w:rFonts w:hint="eastAsia" w:ascii="仿宋_GB2312" w:hAnsi="仿宋_GB2312" w:eastAsia="仿宋_GB2312" w:cs="仿宋_GB2312"/>
          <w:kern w:val="0"/>
          <w:sz w:val="32"/>
          <w:szCs w:val="32"/>
        </w:rPr>
        <w:t>量子信息技术有望成为未来重大技术范式变革和颠覆式创新应用的新源泉。因此，分析研判我国在量子信息领域的优势和不足，提出我国量子信息产业的路径选择，对于我国抢占未来产业制高点，提升未来科技竞争力有重要的意义。主要研究内容包括：全球主要国家推动量子信息产业发展的国家战略及政策；量子信息产业的特征及应用场景；与世界先进国家相比，我国量子信息产业的优势与不足；提升我国量子信息产业竞争优势的对策建议。</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color w:val="000000" w:themeColor="text1"/>
          <w:kern w:val="0"/>
          <w:sz w:val="32"/>
          <w:szCs w:val="32"/>
          <w:shd w:val="clear" w:color="auto" w:fill="FFFFFF"/>
          <w14:textFill>
            <w14:solidFill>
              <w14:schemeClr w14:val="tx1"/>
            </w14:solidFill>
          </w14:textFill>
        </w:rPr>
      </w:pPr>
      <w:r>
        <w:rPr>
          <w:rFonts w:hint="eastAsia" w:eastAsia="楷体"/>
          <w:b/>
          <w:bCs/>
          <w:kern w:val="0"/>
          <w:sz w:val="32"/>
          <w:szCs w:val="32"/>
        </w:rPr>
        <w:t>研究经费：</w:t>
      </w:r>
      <w:r>
        <w:rPr>
          <w:rFonts w:hint="eastAsia" w:ascii="楷体" w:hAnsi="楷体" w:eastAsia="楷体"/>
          <w:sz w:val="32"/>
          <w:szCs w:val="32"/>
        </w:rPr>
        <w:t>≤30万</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color w:val="000000" w:themeColor="text1"/>
          <w:kern w:val="0"/>
          <w:sz w:val="32"/>
          <w:szCs w:val="32"/>
          <w:shd w:val="clear" w:color="auto" w:fill="FFFFFF"/>
          <w14:textFill>
            <w14:solidFill>
              <w14:schemeClr w14:val="tx1"/>
            </w14:solidFill>
          </w14:textFill>
        </w:rPr>
      </w:pPr>
      <w:r>
        <w:rPr>
          <w:rFonts w:hint="eastAsia" w:eastAsia="楷体"/>
          <w:b/>
          <w:bCs/>
          <w:kern w:val="0"/>
          <w:sz w:val="32"/>
          <w:szCs w:val="32"/>
        </w:rPr>
        <w:t>申报对象：</w:t>
      </w:r>
      <w:r>
        <w:rPr>
          <w:rFonts w:hint="eastAsia" w:ascii="仿宋_GB2312" w:hAnsi="宋体" w:eastAsia="仿宋_GB2312" w:cs="Arial"/>
          <w:color w:val="000000"/>
          <w:kern w:val="0"/>
          <w:sz w:val="32"/>
          <w:szCs w:val="32"/>
        </w:rPr>
        <w:t>中国科协所属学会、协会、研究会，各省、自治区、直辖市、副省级城市科协，新疆生产建设兵团科协，具有独立法人资格的高校、科研院所等</w:t>
      </w:r>
      <w:r>
        <w:rPr>
          <w:rFonts w:hint="eastAsia" w:ascii="仿宋_GB2312" w:eastAsia="仿宋_GB2312"/>
          <w:color w:val="000000"/>
          <w:sz w:val="30"/>
          <w:szCs w:val="30"/>
        </w:rPr>
        <w:t>，</w:t>
      </w:r>
      <w:r>
        <w:rPr>
          <w:rFonts w:hint="eastAsia" w:ascii="仿宋_GB2312" w:hAnsi="宋体" w:eastAsia="仿宋_GB2312" w:cs="Arial"/>
          <w:color w:val="000000"/>
          <w:kern w:val="0"/>
          <w:sz w:val="32"/>
          <w:szCs w:val="32"/>
        </w:rPr>
        <w:t>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Arial"/>
          <w:color w:val="000000"/>
          <w:kern w:val="0"/>
          <w:sz w:val="32"/>
          <w:szCs w:val="32"/>
        </w:rPr>
      </w:pPr>
      <w:r>
        <w:rPr>
          <w:rFonts w:hint="eastAsia" w:eastAsia="楷体"/>
          <w:b/>
          <w:bCs/>
          <w:kern w:val="0"/>
          <w:sz w:val="32"/>
          <w:szCs w:val="32"/>
        </w:rPr>
        <w:t>预期成果：</w:t>
      </w:r>
      <w:r>
        <w:rPr>
          <w:rFonts w:hint="eastAsia" w:ascii="仿宋_GB2312" w:eastAsia="仿宋_GB2312"/>
          <w:sz w:val="32"/>
          <w:szCs w:val="32"/>
        </w:rPr>
        <w:t>研究报告</w:t>
      </w:r>
      <w:r>
        <w:rPr>
          <w:rFonts w:ascii="仿宋_GB2312" w:eastAsia="仿宋_GB2312"/>
          <w:sz w:val="32"/>
          <w:szCs w:val="32"/>
        </w:rPr>
        <w:t>1</w:t>
      </w:r>
      <w:r>
        <w:rPr>
          <w:rFonts w:hint="eastAsia" w:ascii="仿宋_GB2312" w:eastAsia="仿宋_GB2312"/>
          <w:sz w:val="32"/>
          <w:szCs w:val="32"/>
          <w:lang w:val="en-US" w:eastAsia="zh-CN"/>
        </w:rPr>
        <w:t>份</w:t>
      </w:r>
      <w:r>
        <w:rPr>
          <w:rFonts w:ascii="仿宋_GB2312" w:eastAsia="仿宋_GB2312"/>
          <w:sz w:val="32"/>
          <w:szCs w:val="32"/>
        </w:rPr>
        <w:t>；</w:t>
      </w:r>
      <w:r>
        <w:rPr>
          <w:rFonts w:hint="eastAsia" w:ascii="仿宋_GB2312" w:eastAsia="仿宋_GB2312"/>
          <w:sz w:val="32"/>
          <w:szCs w:val="32"/>
          <w:lang w:val="en-US" w:eastAsia="zh-CN"/>
        </w:rPr>
        <w:t>政策建议</w:t>
      </w:r>
      <w:r>
        <w:rPr>
          <w:rFonts w:ascii="仿宋_GB2312" w:eastAsia="仿宋_GB2312"/>
          <w:sz w:val="32"/>
          <w:szCs w:val="32"/>
        </w:rPr>
        <w:t>专报</w:t>
      </w:r>
      <w:r>
        <w:rPr>
          <w:rFonts w:hint="eastAsia" w:ascii="仿宋_GB2312" w:eastAsia="仿宋_GB2312"/>
          <w:sz w:val="32"/>
          <w:szCs w:val="32"/>
          <w:lang w:eastAsia="zh-CN"/>
        </w:rPr>
        <w:t>2份</w:t>
      </w:r>
      <w:r>
        <w:rPr>
          <w:rFonts w:hint="eastAsia" w:ascii="仿宋_GB2312" w:eastAsia="仿宋_GB2312"/>
          <w:sz w:val="32"/>
          <w:szCs w:val="32"/>
        </w:rPr>
        <w:t>。</w:t>
      </w:r>
    </w:p>
    <w:p>
      <w:pPr>
        <w:pStyle w:val="15"/>
        <w:keepNext w:val="0"/>
        <w:keepLines w:val="0"/>
        <w:pageBreakBefore w:val="0"/>
        <w:kinsoku/>
        <w:wordWrap/>
        <w:overflowPunct/>
        <w:topLinePunct w:val="0"/>
        <w:autoSpaceDE/>
        <w:autoSpaceDN/>
        <w:bidi w:val="0"/>
        <w:adjustRightInd/>
        <w:spacing w:line="560" w:lineRule="exact"/>
        <w:ind w:firstLine="640"/>
        <w:textAlignment w:val="auto"/>
        <w:rPr>
          <w:rFonts w:ascii="黑体" w:hAnsi="黑体" w:eastAsia="黑体"/>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_GB2312" w:eastAsia="楷体_GB2312"/>
          <w:b/>
          <w:bCs/>
          <w:sz w:val="32"/>
          <w:szCs w:val="32"/>
        </w:rPr>
      </w:pPr>
      <w:r>
        <w:rPr>
          <w:rFonts w:hint="eastAsia" w:ascii="楷体" w:hAnsi="楷体" w:eastAsia="楷体" w:cs="Arial"/>
          <w:b/>
          <w:bCs/>
          <w:kern w:val="0"/>
          <w:sz w:val="32"/>
          <w:szCs w:val="32"/>
        </w:rPr>
        <w:t>题目</w:t>
      </w:r>
      <w:r>
        <w:rPr>
          <w:rFonts w:hint="eastAsia" w:ascii="楷体" w:hAnsi="楷体" w:eastAsia="楷体" w:cs="Arial"/>
          <w:b/>
          <w:bCs/>
          <w:kern w:val="0"/>
          <w:sz w:val="32"/>
          <w:szCs w:val="32"/>
          <w:lang w:val="en-US" w:eastAsia="zh-CN"/>
        </w:rPr>
        <w:t>5</w:t>
      </w:r>
      <w:r>
        <w:rPr>
          <w:rFonts w:hint="eastAsia" w:ascii="楷体_GB2312" w:eastAsia="楷体_GB2312"/>
          <w:b/>
          <w:bCs/>
          <w:sz w:val="32"/>
          <w:szCs w:val="32"/>
        </w:rPr>
        <w:t>：国内外未来能源布局与策略研究</w:t>
      </w:r>
    </w:p>
    <w:p>
      <w:pPr>
        <w:keepNext w:val="0"/>
        <w:keepLines w:val="0"/>
        <w:pageBreakBefore w:val="0"/>
        <w:kinsoku/>
        <w:wordWrap/>
        <w:overflowPunct/>
        <w:topLinePunct w:val="0"/>
        <w:autoSpaceDE/>
        <w:autoSpaceDN/>
        <w:bidi w:val="0"/>
        <w:adjustRightInd/>
        <w:spacing w:line="560" w:lineRule="exact"/>
        <w:textAlignment w:val="auto"/>
        <w:rPr>
          <w:rFonts w:ascii="楷体_GB2312" w:eastAsia="楷体_GB2312"/>
          <w:sz w:val="32"/>
          <w:szCs w:val="32"/>
        </w:rPr>
      </w:pPr>
      <w:r>
        <w:rPr>
          <w:rFonts w:hint="eastAsia" w:ascii="楷体_GB2312" w:eastAsia="楷体_GB2312"/>
          <w:b/>
          <w:bCs/>
          <w:sz w:val="32"/>
          <w:szCs w:val="32"/>
        </w:rPr>
        <w:t>研究内容：</w:t>
      </w:r>
      <w:r>
        <w:rPr>
          <w:rFonts w:hint="eastAsia" w:ascii="仿宋_GB2312" w:eastAsia="仿宋_GB2312"/>
          <w:sz w:val="32"/>
          <w:szCs w:val="32"/>
        </w:rPr>
        <w:t>以氢能、可控核聚变、太阳能、风能等为代表的未来能源是实现低碳可持续发展的重要支撑。主要研究内容：梳理各国未来能源的主要方向，探讨各种能源技术的优劣与适用性；研究现代能源的储存方式，并讨论其对未来能源布局的影响。深入了解清洁技术在未来能源中的作用，如碳捕获、存储和利用技术，以及其在降低碳排放中的应用；分析中美两国在能源布局和政策上的差异，提出中国未来能源的发展重点和布局策略。</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楷体_GB2312" w:eastAsia="楷体_GB2312"/>
          <w:b/>
          <w:bCs/>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楷体_GB2312" w:eastAsia="楷体_GB2312"/>
          <w:b/>
          <w:bCs/>
          <w:sz w:val="32"/>
          <w:szCs w:val="32"/>
        </w:rPr>
        <w:t>研究经费：</w:t>
      </w:r>
      <w:r>
        <w:rPr>
          <w:rFonts w:hint="eastAsia" w:ascii="楷体" w:hAnsi="楷体" w:eastAsia="楷体"/>
          <w:sz w:val="32"/>
          <w:szCs w:val="32"/>
        </w:rPr>
        <w:t>≤30万</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Times New Roman" w:hAnsi="Times New Roman"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中国科协所属学会、协会、研究会，各省、自治区、直辖市、副省级城市科协，新疆生产建设兵团科协，及具有独立法人资格的高校、科研院所等</w:t>
      </w:r>
      <w:r>
        <w:rPr>
          <w:rFonts w:hint="eastAsia" w:ascii="仿宋_GB2312" w:hAnsi="宋体" w:eastAsia="仿宋_GB2312" w:cs="宋体"/>
          <w:color w:val="000000"/>
          <w:sz w:val="32"/>
          <w:szCs w:val="32"/>
          <w:lang w:bidi="ar"/>
        </w:rPr>
        <w:t>，有充分的相关研究基础或工作基础。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楷体_GB2312" w:eastAsia="楷体_GB2312"/>
          <w:b/>
          <w:bCs/>
          <w:sz w:val="32"/>
          <w:szCs w:val="32"/>
        </w:rPr>
        <w:t>预期成果：</w:t>
      </w:r>
      <w:r>
        <w:rPr>
          <w:rFonts w:hint="eastAsia" w:ascii="仿宋_GB2312" w:eastAsia="仿宋_GB2312"/>
          <w:sz w:val="32"/>
          <w:szCs w:val="32"/>
        </w:rPr>
        <w:t>研究报告</w:t>
      </w:r>
      <w:r>
        <w:rPr>
          <w:rFonts w:hint="eastAsia" w:ascii="仿宋_GB2312" w:eastAsia="仿宋_GB2312"/>
          <w:sz w:val="32"/>
          <w:szCs w:val="32"/>
          <w:lang w:eastAsia="zh-CN"/>
        </w:rPr>
        <w:t>1份</w:t>
      </w:r>
      <w:r>
        <w:rPr>
          <w:rFonts w:ascii="仿宋_GB2312" w:eastAsia="仿宋_GB2312"/>
          <w:sz w:val="32"/>
          <w:szCs w:val="32"/>
        </w:rPr>
        <w:t>；</w:t>
      </w:r>
      <w:r>
        <w:rPr>
          <w:rFonts w:hint="eastAsia" w:ascii="仿宋_GB2312" w:eastAsia="仿宋_GB2312"/>
          <w:sz w:val="32"/>
          <w:szCs w:val="32"/>
          <w:lang w:val="en-US" w:eastAsia="zh-CN"/>
        </w:rPr>
        <w:t>政策建议</w:t>
      </w:r>
      <w:r>
        <w:rPr>
          <w:rFonts w:ascii="仿宋_GB2312" w:eastAsia="仿宋_GB2312"/>
          <w:sz w:val="32"/>
          <w:szCs w:val="32"/>
        </w:rPr>
        <w:t>专报</w:t>
      </w:r>
      <w:r>
        <w:rPr>
          <w:rFonts w:hint="eastAsia" w:ascii="仿宋_GB2312" w:eastAsia="仿宋_GB2312"/>
          <w:sz w:val="32"/>
          <w:szCs w:val="32"/>
          <w:lang w:eastAsia="zh-CN"/>
        </w:rPr>
        <w:t>2份</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_GB2312" w:eastAsia="楷体_GB2312"/>
          <w:b/>
          <w:bCs/>
          <w:sz w:val="32"/>
          <w:szCs w:val="32"/>
        </w:rPr>
      </w:pPr>
      <w:r>
        <w:rPr>
          <w:rFonts w:hint="eastAsia" w:ascii="楷体_GB2312" w:eastAsia="楷体_GB2312"/>
          <w:b/>
          <w:bCs/>
          <w:sz w:val="32"/>
          <w:szCs w:val="32"/>
        </w:rPr>
        <w:t>题目</w:t>
      </w:r>
      <w:r>
        <w:rPr>
          <w:rFonts w:hint="eastAsia" w:ascii="楷体_GB2312" w:eastAsia="楷体_GB2312"/>
          <w:b/>
          <w:bCs/>
          <w:sz w:val="32"/>
          <w:szCs w:val="32"/>
          <w:lang w:val="en-US" w:eastAsia="zh-CN"/>
        </w:rPr>
        <w:t>6</w:t>
      </w:r>
      <w:r>
        <w:rPr>
          <w:rFonts w:hint="eastAsia" w:ascii="楷体_GB2312" w:eastAsia="楷体_GB2312"/>
          <w:b/>
          <w:bCs/>
          <w:sz w:val="32"/>
          <w:szCs w:val="32"/>
        </w:rPr>
        <w:t>：未来网络技术与策略的全球发展与中国的布局研究</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仿宋_GB2312" w:eastAsia="仿宋_GB2312"/>
          <w:b/>
          <w:bCs/>
          <w:sz w:val="32"/>
          <w:szCs w:val="32"/>
        </w:rPr>
        <w:t>研究内容：</w:t>
      </w:r>
      <w:r>
        <w:rPr>
          <w:rFonts w:hint="eastAsia" w:ascii="仿宋_GB2312" w:eastAsia="仿宋_GB2312"/>
          <w:sz w:val="32"/>
          <w:szCs w:val="32"/>
        </w:rPr>
        <w:t>分析和总结未来网络的主要技术方向，如量子通信、边缘计算和6</w:t>
      </w:r>
      <w:r>
        <w:rPr>
          <w:rFonts w:ascii="仿宋_GB2312" w:eastAsia="仿宋_GB2312"/>
          <w:sz w:val="32"/>
          <w:szCs w:val="32"/>
        </w:rPr>
        <w:t>G</w:t>
      </w:r>
      <w:r>
        <w:rPr>
          <w:rFonts w:hint="eastAsia" w:ascii="仿宋_GB2312" w:eastAsia="仿宋_GB2312"/>
          <w:sz w:val="32"/>
          <w:szCs w:val="32"/>
        </w:rPr>
        <w:t>等，并探讨这些技术的优劣与适用性。深入分析未来网络消费类和生产类应用场景。对比我国和主要发达国家（地区）在未来网络技术研发和应用方面的差异，提出中国制定未来网络的发展重点和布局策略。</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仿宋_GB2312" w:eastAsia="仿宋_GB2312"/>
          <w:b/>
          <w:bCs/>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楷体_GB2312" w:eastAsia="楷体_GB2312"/>
          <w:b/>
          <w:bCs/>
          <w:sz w:val="32"/>
          <w:szCs w:val="32"/>
        </w:rPr>
        <w:t>研究经费：</w:t>
      </w:r>
      <w:r>
        <w:rPr>
          <w:rFonts w:hint="eastAsia" w:ascii="楷体" w:hAnsi="楷体" w:eastAsia="楷体"/>
          <w:sz w:val="32"/>
          <w:szCs w:val="32"/>
        </w:rPr>
        <w:t>≤30万</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r>
        <w:rPr>
          <w:rFonts w:hint="eastAsia" w:ascii="Times New Roman" w:hAnsi="Times New Roman"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中国科协所属学会、协会、研究会，各省、自治区、直辖市、副省级城市科协，新疆生产建设兵团科协，及具有独立法人资格的高校、科研院所等</w:t>
      </w:r>
      <w:r>
        <w:rPr>
          <w:rFonts w:hint="eastAsia" w:ascii="仿宋_GB2312" w:hAnsi="宋体" w:eastAsia="仿宋_GB2312" w:cs="宋体"/>
          <w:color w:val="000000"/>
          <w:sz w:val="32"/>
          <w:szCs w:val="32"/>
          <w:lang w:bidi="ar"/>
        </w:rPr>
        <w:t>，有充分的相关研究基础或工作基础。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ascii="楷体_GB2312" w:eastAsia="楷体_GB2312"/>
          <w:b/>
          <w:bCs/>
          <w:sz w:val="32"/>
          <w:szCs w:val="32"/>
        </w:rPr>
        <w:t>预期成果：</w:t>
      </w:r>
      <w:r>
        <w:rPr>
          <w:rFonts w:hint="eastAsia" w:ascii="仿宋_GB2312" w:eastAsia="仿宋_GB2312"/>
          <w:sz w:val="32"/>
          <w:szCs w:val="32"/>
        </w:rPr>
        <w:t>研究报告</w:t>
      </w:r>
      <w:r>
        <w:rPr>
          <w:rFonts w:hint="eastAsia" w:ascii="仿宋_GB2312" w:eastAsia="仿宋_GB2312"/>
          <w:sz w:val="32"/>
          <w:szCs w:val="32"/>
          <w:lang w:eastAsia="zh-CN"/>
        </w:rPr>
        <w:t>1份</w:t>
      </w:r>
      <w:r>
        <w:rPr>
          <w:rFonts w:ascii="仿宋_GB2312" w:eastAsia="仿宋_GB2312"/>
          <w:sz w:val="30"/>
          <w:szCs w:val="30"/>
        </w:rPr>
        <w:t>；</w:t>
      </w:r>
      <w:r>
        <w:rPr>
          <w:rFonts w:hint="eastAsia" w:ascii="仿宋_GB2312" w:eastAsia="仿宋_GB2312"/>
          <w:sz w:val="30"/>
          <w:szCs w:val="30"/>
          <w:lang w:val="en-US" w:eastAsia="zh-CN"/>
        </w:rPr>
        <w:t>政策建议</w:t>
      </w:r>
      <w:r>
        <w:rPr>
          <w:rFonts w:hint="eastAsia" w:ascii="仿宋_GB2312" w:eastAsia="仿宋_GB2312"/>
          <w:sz w:val="30"/>
          <w:szCs w:val="30"/>
        </w:rPr>
        <w:t>专</w:t>
      </w:r>
      <w:r>
        <w:rPr>
          <w:rFonts w:ascii="仿宋_GB2312" w:eastAsia="仿宋_GB2312"/>
          <w:sz w:val="30"/>
          <w:szCs w:val="30"/>
        </w:rPr>
        <w:t>报</w:t>
      </w:r>
      <w:r>
        <w:rPr>
          <w:rFonts w:hint="eastAsia" w:ascii="仿宋_GB2312" w:eastAsia="仿宋_GB2312"/>
          <w:sz w:val="30"/>
          <w:szCs w:val="30"/>
          <w:lang w:eastAsia="zh-CN"/>
        </w:rPr>
        <w:t>2份</w:t>
      </w:r>
      <w:r>
        <w:rPr>
          <w:rFonts w:hint="eastAsia" w:ascii="仿宋_GB2312" w:eastAsia="仿宋_GB2312"/>
          <w:sz w:val="30"/>
          <w:szCs w:val="30"/>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Arial"/>
          <w:b/>
          <w:bCs/>
          <w:kern w:val="0"/>
          <w:sz w:val="32"/>
          <w:szCs w:val="32"/>
        </w:rPr>
      </w:pPr>
      <w:r>
        <w:rPr>
          <w:rFonts w:hint="eastAsia" w:ascii="楷体" w:hAnsi="楷体" w:eastAsia="楷体" w:cs="Arial"/>
          <w:b/>
          <w:bCs/>
          <w:kern w:val="0"/>
          <w:sz w:val="32"/>
          <w:szCs w:val="32"/>
        </w:rPr>
        <w:t>题目</w:t>
      </w:r>
      <w:r>
        <w:rPr>
          <w:rFonts w:hint="eastAsia" w:ascii="楷体" w:hAnsi="楷体" w:eastAsia="楷体" w:cs="Arial"/>
          <w:b/>
          <w:bCs/>
          <w:kern w:val="0"/>
          <w:sz w:val="32"/>
          <w:szCs w:val="32"/>
          <w:lang w:val="en-US" w:eastAsia="zh-CN"/>
        </w:rPr>
        <w:t>7</w:t>
      </w:r>
      <w:r>
        <w:rPr>
          <w:rFonts w:hint="eastAsia" w:ascii="楷体" w:hAnsi="楷体" w:eastAsia="楷体" w:cs="Arial"/>
          <w:b/>
          <w:bCs/>
          <w:kern w:val="0"/>
          <w:sz w:val="32"/>
          <w:szCs w:val="32"/>
          <w:lang w:eastAsia="zh-CN"/>
        </w:rPr>
        <w:t>：</w:t>
      </w:r>
      <w:r>
        <w:rPr>
          <w:rFonts w:hint="eastAsia" w:ascii="楷体" w:hAnsi="楷体" w:eastAsia="楷体" w:cs="Arial"/>
          <w:b/>
          <w:bCs/>
          <w:kern w:val="0"/>
          <w:sz w:val="32"/>
          <w:szCs w:val="32"/>
        </w:rPr>
        <w:t>中外对比视角下我国“三深”产业发展长短板研究</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lang w:eastAsia="zh-CN"/>
        </w:rPr>
        <w:t>研究内容</w:t>
      </w:r>
      <w:r>
        <w:rPr>
          <w:rFonts w:hint="eastAsia" w:ascii="Times New Roman" w:hAnsi="Times New Roman" w:eastAsia="楷体"/>
          <w:b/>
          <w:bCs/>
          <w:kern w:val="0"/>
          <w:sz w:val="32"/>
          <w:szCs w:val="32"/>
        </w:rPr>
        <w:t>：</w:t>
      </w:r>
      <w:r>
        <w:rPr>
          <w:rFonts w:hint="eastAsia" w:ascii="仿宋_GB2312" w:eastAsia="仿宋_GB2312"/>
          <w:sz w:val="32"/>
          <w:szCs w:val="32"/>
        </w:rPr>
        <w:t>深地、深空、深海既是我国探索人类未知领域的重要方向，也是积极抢占科技制高点的重点领域。主要研究内容：围绕深海、深地的资源开发与空间利用，深空的卫星互联网、可重复使用火箭等领域，梳理我国和主要发达国家（地区）的战略布局和政策举措，分析各国（地区）现有的基础和优势、短板和制约，并就我国如何强弱项、补短板提出对策建议。</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研究经费：</w:t>
      </w:r>
      <w:r>
        <w:rPr>
          <w:rFonts w:hint="eastAsia" w:ascii="楷体" w:hAnsi="楷体" w:eastAsia="楷体"/>
          <w:sz w:val="32"/>
          <w:szCs w:val="32"/>
        </w:rPr>
        <w:t>≤30万</w:t>
      </w:r>
    </w:p>
    <w:p>
      <w:pPr>
        <w:keepNext w:val="0"/>
        <w:keepLines w:val="0"/>
        <w:pageBreakBefore w:val="0"/>
        <w:kinsoku/>
        <w:wordWrap/>
        <w:overflowPunct/>
        <w:topLinePunct w:val="0"/>
        <w:autoSpaceDE/>
        <w:autoSpaceDN/>
        <w:bidi w:val="0"/>
        <w:adjustRightInd/>
        <w:spacing w:line="560" w:lineRule="exact"/>
        <w:textAlignment w:val="auto"/>
        <w:rPr>
          <w:rFonts w:ascii="Times New Roman" w:hAnsi="Times New Roman" w:eastAsia="楷体"/>
          <w:b/>
          <w:bCs/>
          <w:kern w:val="0"/>
          <w:sz w:val="32"/>
          <w:szCs w:val="32"/>
        </w:rPr>
      </w:pPr>
      <w:r>
        <w:rPr>
          <w:rFonts w:hint="eastAsia" w:ascii="Times New Roman" w:hAnsi="Times New Roman"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中国科协所属学会、协会、研究会，各省、自治区、直辖市、副省级城市科协，新疆生产建设兵团科协，及具有独立法人资格的高校、科研院所等。</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预期成果：</w:t>
      </w:r>
      <w:r>
        <w:rPr>
          <w:rFonts w:hint="eastAsia" w:ascii="仿宋_GB2312" w:eastAsia="仿宋_GB2312"/>
          <w:sz w:val="32"/>
          <w:szCs w:val="32"/>
        </w:rPr>
        <w:t>研究报告</w:t>
      </w:r>
      <w:r>
        <w:rPr>
          <w:rFonts w:hint="eastAsia" w:ascii="仿宋_GB2312" w:eastAsia="仿宋_GB2312"/>
          <w:sz w:val="32"/>
          <w:szCs w:val="32"/>
          <w:lang w:eastAsia="zh-CN"/>
        </w:rPr>
        <w:t>1份</w:t>
      </w:r>
      <w:r>
        <w:rPr>
          <w:rFonts w:hint="eastAsia" w:ascii="仿宋_GB2312" w:eastAsia="仿宋_GB2312"/>
          <w:sz w:val="32"/>
          <w:szCs w:val="32"/>
        </w:rPr>
        <w:t>；</w:t>
      </w:r>
      <w:r>
        <w:rPr>
          <w:rFonts w:hint="eastAsia" w:ascii="仿宋_GB2312" w:eastAsia="仿宋_GB2312"/>
          <w:sz w:val="32"/>
          <w:szCs w:val="32"/>
          <w:lang w:val="en-US" w:eastAsia="zh-CN"/>
        </w:rPr>
        <w:t>政策建议</w:t>
      </w:r>
      <w:r>
        <w:rPr>
          <w:rFonts w:hint="eastAsia" w:ascii="仿宋_GB2312" w:eastAsia="仿宋_GB2312"/>
          <w:sz w:val="32"/>
          <w:szCs w:val="32"/>
        </w:rPr>
        <w:t>专报</w:t>
      </w:r>
      <w:r>
        <w:rPr>
          <w:rFonts w:hint="eastAsia" w:ascii="仿宋_GB2312" w:eastAsia="仿宋_GB2312"/>
          <w:sz w:val="32"/>
          <w:szCs w:val="32"/>
          <w:lang w:eastAsia="zh-CN"/>
        </w:rPr>
        <w:t>2份</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pacing w:line="560" w:lineRule="exact"/>
        <w:ind w:firstLine="600" w:firstLineChars="200"/>
        <w:textAlignment w:val="auto"/>
        <w:rPr>
          <w:rFonts w:ascii="仿宋_GB2312" w:eastAsia="仿宋_GB2312"/>
          <w:sz w:val="30"/>
          <w:szCs w:val="30"/>
        </w:rPr>
      </w:pPr>
    </w:p>
    <w:p>
      <w:pPr>
        <w:keepNext w:val="0"/>
        <w:keepLines w:val="0"/>
        <w:pageBreakBefore w:val="0"/>
        <w:kinsoku/>
        <w:wordWrap/>
        <w:overflowPunct/>
        <w:topLinePunct w:val="0"/>
        <w:autoSpaceDE/>
        <w:autoSpaceDN/>
        <w:bidi w:val="0"/>
        <w:adjustRightInd/>
        <w:spacing w:line="560" w:lineRule="exact"/>
        <w:textAlignment w:val="auto"/>
        <w:rPr>
          <w:rFonts w:ascii="Times New Roman" w:hAnsi="Times New Roman" w:eastAsia="楷体"/>
          <w:b/>
          <w:bCs/>
          <w:kern w:val="0"/>
          <w:sz w:val="32"/>
          <w:szCs w:val="32"/>
        </w:rPr>
      </w:pPr>
      <w:r>
        <w:rPr>
          <w:rFonts w:ascii="Times New Roman" w:hAnsi="Times New Roman" w:eastAsia="楷体"/>
          <w:b/>
          <w:bCs/>
          <w:kern w:val="0"/>
          <w:sz w:val="32"/>
          <w:szCs w:val="32"/>
        </w:rPr>
        <w:t>题目</w:t>
      </w:r>
      <w:r>
        <w:rPr>
          <w:rFonts w:hint="eastAsia" w:ascii="Times New Roman" w:hAnsi="Times New Roman" w:eastAsia="楷体"/>
          <w:b/>
          <w:bCs/>
          <w:kern w:val="0"/>
          <w:sz w:val="32"/>
          <w:szCs w:val="32"/>
          <w:lang w:val="en-US" w:eastAsia="zh-CN"/>
        </w:rPr>
        <w:t>8</w:t>
      </w:r>
      <w:r>
        <w:rPr>
          <w:rFonts w:ascii="Times New Roman" w:hAnsi="Times New Roman" w:eastAsia="楷体"/>
          <w:b/>
          <w:bCs/>
          <w:kern w:val="0"/>
          <w:sz w:val="32"/>
          <w:szCs w:val="32"/>
        </w:rPr>
        <w:t>：</w:t>
      </w:r>
      <w:r>
        <w:rPr>
          <w:rFonts w:hint="eastAsia" w:ascii="Times New Roman" w:hAnsi="Times New Roman" w:eastAsia="楷体"/>
          <w:b/>
          <w:bCs/>
          <w:kern w:val="0"/>
          <w:sz w:val="32"/>
          <w:szCs w:val="32"/>
        </w:rPr>
        <w:t>中外比较视角下我国未来制造的发展现状、重点方向和政策建议</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ascii="Times New Roman" w:hAnsi="Times New Roman" w:eastAsia="楷体"/>
          <w:b/>
          <w:bCs/>
          <w:kern w:val="0"/>
          <w:sz w:val="32"/>
          <w:szCs w:val="32"/>
          <w:lang w:val="en-US" w:eastAsia="zh-CN"/>
        </w:rPr>
        <w:t>研究</w:t>
      </w:r>
      <w:r>
        <w:rPr>
          <w:rFonts w:ascii="Times New Roman" w:hAnsi="Times New Roman" w:eastAsia="楷体"/>
          <w:b/>
          <w:bCs/>
          <w:kern w:val="0"/>
          <w:sz w:val="32"/>
          <w:szCs w:val="32"/>
        </w:rPr>
        <w:t>内容：</w:t>
      </w:r>
      <w:r>
        <w:rPr>
          <w:rFonts w:hint="eastAsia" w:ascii="仿宋_GB2312" w:eastAsia="仿宋_GB2312"/>
          <w:sz w:val="32"/>
          <w:szCs w:val="32"/>
        </w:rPr>
        <w:t>未来制造引领产业升级和经济转型，为实现经济社会可持续发展创造条件。主要研究内容：围绕智能制造、智慧出行和类人机器人等领域，梳理我国和主要发达国家（地区）的发展现状，深入剖析各国（地区）的关键技术领域的优势和痛点，对比各自的重点方向差异，提出推进我国未来制造相关产业发展的策略和举措。</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ascii="Times New Roman" w:hAnsi="Times New Roman"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ascii="Times New Roman" w:hAnsi="Times New Roman" w:eastAsia="楷体"/>
          <w:b/>
          <w:bCs/>
          <w:kern w:val="0"/>
          <w:sz w:val="32"/>
          <w:szCs w:val="32"/>
        </w:rPr>
        <w:t>研究经费：</w:t>
      </w:r>
      <w:r>
        <w:rPr>
          <w:rFonts w:hint="eastAsia" w:ascii="楷体" w:hAnsi="楷体" w:eastAsia="楷体"/>
          <w:sz w:val="32"/>
          <w:szCs w:val="32"/>
        </w:rPr>
        <w:t xml:space="preserve">≤30万 </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ascii="Times New Roman" w:hAnsi="Times New Roman"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中国科协所属学会、协会、研究会，各省、自治区、直辖市、副省级城市科协，新疆生产建设兵团科协，及具有独立法人资格的高校、科研院所等，有充分的相关研究基础或工作基础。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ascii="Times New Roman" w:hAnsi="Times New Roman" w:eastAsia="楷体"/>
          <w:b/>
          <w:bCs/>
          <w:kern w:val="0"/>
          <w:sz w:val="32"/>
          <w:szCs w:val="32"/>
        </w:rPr>
        <w:t>预期成果：</w:t>
      </w:r>
      <w:r>
        <w:rPr>
          <w:rFonts w:hint="eastAsia" w:ascii="仿宋_GB2312" w:eastAsia="仿宋_GB2312"/>
          <w:sz w:val="32"/>
          <w:szCs w:val="32"/>
        </w:rPr>
        <w:t>研究报告</w:t>
      </w:r>
      <w:r>
        <w:rPr>
          <w:rFonts w:hint="eastAsia" w:ascii="仿宋_GB2312" w:eastAsia="仿宋_GB2312"/>
          <w:sz w:val="32"/>
          <w:szCs w:val="32"/>
          <w:lang w:eastAsia="zh-CN"/>
        </w:rPr>
        <w:t>1份</w:t>
      </w:r>
      <w:r>
        <w:rPr>
          <w:rFonts w:hint="eastAsia" w:ascii="仿宋_GB2312" w:eastAsia="仿宋_GB2312"/>
          <w:sz w:val="32"/>
          <w:szCs w:val="32"/>
        </w:rPr>
        <w:t>；</w:t>
      </w:r>
      <w:r>
        <w:rPr>
          <w:rFonts w:hint="eastAsia" w:ascii="仿宋_GB2312" w:eastAsia="仿宋_GB2312"/>
          <w:sz w:val="32"/>
          <w:szCs w:val="32"/>
          <w:lang w:val="en-US" w:eastAsia="zh-CN"/>
        </w:rPr>
        <w:t>政策建议</w:t>
      </w:r>
      <w:r>
        <w:rPr>
          <w:rFonts w:hint="eastAsia" w:ascii="仿宋_GB2312" w:eastAsia="仿宋_GB2312"/>
          <w:sz w:val="32"/>
          <w:szCs w:val="32"/>
        </w:rPr>
        <w:t>专报</w:t>
      </w:r>
      <w:r>
        <w:rPr>
          <w:rFonts w:hint="eastAsia" w:ascii="仿宋_GB2312" w:eastAsia="仿宋_GB2312"/>
          <w:sz w:val="32"/>
          <w:szCs w:val="32"/>
          <w:lang w:eastAsia="zh-CN"/>
        </w:rPr>
        <w:t>2份</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pacing w:line="560" w:lineRule="exact"/>
        <w:textAlignment w:val="auto"/>
        <w:rPr>
          <w:rFonts w:ascii="Times New Roman" w:hAnsi="Times New Roman" w:eastAsia="楷体"/>
          <w:b/>
          <w:bCs/>
          <w:kern w:val="0"/>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Arial"/>
          <w:b/>
          <w:bCs/>
          <w:kern w:val="0"/>
          <w:sz w:val="32"/>
          <w:szCs w:val="32"/>
        </w:rPr>
      </w:pPr>
      <w:r>
        <w:rPr>
          <w:rFonts w:hint="eastAsia" w:ascii="楷体" w:hAnsi="楷体" w:eastAsia="楷体" w:cs="Arial"/>
          <w:b/>
          <w:bCs/>
          <w:kern w:val="0"/>
          <w:sz w:val="32"/>
          <w:szCs w:val="32"/>
        </w:rPr>
        <w:t>题目</w:t>
      </w:r>
      <w:r>
        <w:rPr>
          <w:rFonts w:hint="eastAsia" w:ascii="楷体" w:hAnsi="楷体" w:eastAsia="楷体" w:cs="Arial"/>
          <w:b/>
          <w:bCs/>
          <w:kern w:val="0"/>
          <w:sz w:val="32"/>
          <w:szCs w:val="32"/>
          <w:lang w:val="en-US" w:eastAsia="zh-CN"/>
        </w:rPr>
        <w:t>9</w:t>
      </w:r>
      <w:r>
        <w:rPr>
          <w:rFonts w:hint="eastAsia" w:ascii="楷体" w:hAnsi="楷体" w:eastAsia="楷体" w:cs="Arial"/>
          <w:b/>
          <w:bCs/>
          <w:kern w:val="0"/>
          <w:sz w:val="32"/>
          <w:szCs w:val="32"/>
          <w:lang w:eastAsia="zh-CN"/>
        </w:rPr>
        <w:t>：</w:t>
      </w:r>
      <w:r>
        <w:rPr>
          <w:rFonts w:hint="eastAsia" w:ascii="楷体" w:hAnsi="楷体" w:eastAsia="楷体" w:cs="Arial"/>
          <w:b/>
          <w:bCs/>
          <w:kern w:val="0"/>
          <w:sz w:val="32"/>
          <w:szCs w:val="32"/>
        </w:rPr>
        <w:t>全球未来产业领域企业名录库的构建与分析</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楷体" w:hAnsi="楷体" w:eastAsia="楷体" w:cs="Arial"/>
          <w:b/>
          <w:bCs/>
          <w:kern w:val="0"/>
          <w:sz w:val="32"/>
          <w:szCs w:val="32"/>
          <w:lang w:eastAsia="zh-CN"/>
        </w:rPr>
        <w:t>研究内容</w:t>
      </w:r>
      <w:r>
        <w:rPr>
          <w:rFonts w:hint="eastAsia" w:ascii="楷体" w:hAnsi="楷体" w:eastAsia="楷体" w:cs="Arial"/>
          <w:b/>
          <w:bCs/>
          <w:kern w:val="0"/>
          <w:sz w:val="32"/>
          <w:szCs w:val="32"/>
        </w:rPr>
        <w:t>：</w:t>
      </w:r>
      <w:r>
        <w:rPr>
          <w:rFonts w:hint="eastAsia" w:ascii="仿宋_GB2312" w:eastAsia="仿宋_GB2312"/>
          <w:sz w:val="32"/>
          <w:szCs w:val="32"/>
        </w:rPr>
        <w:t>针对未来能源、未来信息、未来网络、未来制造、未来空间、未来健康等6大领域，列出各领域内前100名全球企业，给出排名依据，指出各个企业的主要产品和创新方向，画出各个产业链图谱，给出各领域企业在产业链的位置。</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研究经费：</w:t>
      </w:r>
      <w:r>
        <w:rPr>
          <w:rFonts w:hint="eastAsia" w:ascii="楷体" w:hAnsi="楷体" w:eastAsia="楷体"/>
          <w:sz w:val="32"/>
          <w:szCs w:val="32"/>
        </w:rPr>
        <w:t>≤20万</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ascii="Times New Roman" w:hAnsi="Times New Roman"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中国科协所属学会、协会、研究会，各省、自治区、直辖市、副省级城市科协，新疆生产建设兵团科协，及具有独立法人资格的高校、科研院所等。</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0"/>
          <w:szCs w:val="30"/>
        </w:rPr>
      </w:pPr>
      <w:r>
        <w:rPr>
          <w:rFonts w:hint="eastAsia" w:ascii="Times New Roman" w:hAnsi="Times New Roman" w:eastAsia="楷体"/>
          <w:b/>
          <w:bCs/>
          <w:kern w:val="0"/>
          <w:sz w:val="32"/>
          <w:szCs w:val="32"/>
        </w:rPr>
        <w:t>预期成果：</w:t>
      </w:r>
      <w:r>
        <w:rPr>
          <w:rFonts w:hint="eastAsia" w:ascii="仿宋_GB2312" w:eastAsia="仿宋_GB2312"/>
          <w:sz w:val="32"/>
          <w:szCs w:val="32"/>
        </w:rPr>
        <w:t>研究报告</w:t>
      </w:r>
      <w:r>
        <w:rPr>
          <w:rFonts w:hint="eastAsia" w:ascii="仿宋_GB2312" w:eastAsia="仿宋_GB2312"/>
          <w:sz w:val="30"/>
          <w:szCs w:val="30"/>
          <w:lang w:eastAsia="zh-CN"/>
        </w:rPr>
        <w:t>1份</w:t>
      </w:r>
      <w:r>
        <w:rPr>
          <w:rFonts w:ascii="仿宋_GB2312" w:eastAsia="仿宋_GB2312"/>
          <w:sz w:val="30"/>
          <w:szCs w:val="30"/>
        </w:rPr>
        <w:t>；</w:t>
      </w:r>
      <w:r>
        <w:rPr>
          <w:rFonts w:hint="eastAsia" w:ascii="仿宋_GB2312" w:eastAsia="仿宋_GB2312"/>
          <w:sz w:val="30"/>
          <w:szCs w:val="30"/>
          <w:lang w:val="en-US" w:eastAsia="zh-CN"/>
        </w:rPr>
        <w:t>政策建议</w:t>
      </w:r>
      <w:r>
        <w:rPr>
          <w:rFonts w:hint="eastAsia" w:ascii="仿宋_GB2312" w:eastAsia="仿宋_GB2312"/>
          <w:sz w:val="30"/>
          <w:szCs w:val="30"/>
        </w:rPr>
        <w:t>专</w:t>
      </w:r>
      <w:r>
        <w:rPr>
          <w:rFonts w:ascii="仿宋_GB2312" w:eastAsia="仿宋_GB2312"/>
          <w:sz w:val="30"/>
          <w:szCs w:val="30"/>
        </w:rPr>
        <w:t>报</w:t>
      </w:r>
      <w:r>
        <w:rPr>
          <w:rFonts w:hint="eastAsia" w:ascii="仿宋_GB2312" w:eastAsia="仿宋_GB2312"/>
          <w:sz w:val="30"/>
          <w:szCs w:val="30"/>
          <w:lang w:eastAsia="zh-CN"/>
        </w:rPr>
        <w:t>1份</w:t>
      </w:r>
      <w:r>
        <w:rPr>
          <w:rFonts w:hint="eastAsia" w:ascii="仿宋_GB2312" w:eastAsia="仿宋_GB2312"/>
          <w:sz w:val="30"/>
          <w:szCs w:val="30"/>
        </w:rPr>
        <w:t>。</w:t>
      </w:r>
    </w:p>
    <w:p>
      <w:pPr>
        <w:keepNext w:val="0"/>
        <w:keepLines w:val="0"/>
        <w:pageBreakBefore w:val="0"/>
        <w:kinsoku/>
        <w:wordWrap/>
        <w:overflowPunct/>
        <w:topLinePunct w:val="0"/>
        <w:autoSpaceDE/>
        <w:autoSpaceDN/>
        <w:bidi w:val="0"/>
        <w:adjustRightInd/>
        <w:spacing w:line="560" w:lineRule="exact"/>
        <w:ind w:firstLine="600" w:firstLineChars="200"/>
        <w:textAlignment w:val="auto"/>
        <w:rPr>
          <w:rFonts w:ascii="仿宋_GB2312" w:eastAsia="仿宋_GB2312"/>
          <w:sz w:val="30"/>
          <w:szCs w:val="30"/>
        </w:rPr>
      </w:pP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Arial"/>
          <w:b/>
          <w:bCs/>
          <w:kern w:val="0"/>
          <w:sz w:val="32"/>
          <w:szCs w:val="32"/>
        </w:rPr>
      </w:pPr>
      <w:r>
        <w:rPr>
          <w:rFonts w:hint="eastAsia" w:ascii="楷体" w:hAnsi="楷体" w:eastAsia="楷体" w:cs="Arial"/>
          <w:b/>
          <w:bCs/>
          <w:kern w:val="0"/>
          <w:sz w:val="32"/>
          <w:szCs w:val="32"/>
        </w:rPr>
        <w:t>题目</w:t>
      </w:r>
      <w:r>
        <w:rPr>
          <w:rFonts w:hint="eastAsia" w:ascii="楷体" w:hAnsi="楷体" w:eastAsia="楷体" w:cs="Arial"/>
          <w:b/>
          <w:bCs/>
          <w:kern w:val="0"/>
          <w:sz w:val="32"/>
          <w:szCs w:val="32"/>
          <w:lang w:val="en-US" w:eastAsia="zh-CN"/>
        </w:rPr>
        <w:t>10:</w:t>
      </w:r>
      <w:r>
        <w:rPr>
          <w:rFonts w:hint="eastAsia" w:ascii="楷体" w:hAnsi="楷体" w:eastAsia="楷体" w:cs="Arial"/>
          <w:b/>
          <w:bCs/>
          <w:kern w:val="0"/>
          <w:sz w:val="32"/>
          <w:szCs w:val="32"/>
        </w:rPr>
        <w:t>未来产业发展路径与产业政策选择</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eastAsia="楷体"/>
          <w:b/>
          <w:bCs/>
          <w:kern w:val="0"/>
          <w:sz w:val="32"/>
          <w:szCs w:val="32"/>
        </w:rPr>
        <w:t>研究内容</w:t>
      </w:r>
      <w:r>
        <w:rPr>
          <w:rFonts w:hint="eastAsia" w:ascii="楷体" w:hAnsi="楷体" w:eastAsia="楷体" w:cs="Arial"/>
          <w:b/>
          <w:bCs/>
          <w:kern w:val="0"/>
          <w:sz w:val="32"/>
          <w:szCs w:val="32"/>
        </w:rPr>
        <w:t>：</w:t>
      </w:r>
      <w:r>
        <w:rPr>
          <w:rFonts w:hint="eastAsia" w:ascii="仿宋_GB2312" w:eastAsia="仿宋_GB2312"/>
          <w:sz w:val="32"/>
          <w:szCs w:val="32"/>
        </w:rPr>
        <w:t>研究未来产业的发展路径和产业政策选择，分析未来产业的发展趋势和影响因素，探讨未来产业发展的关键问题和挑战，提出促进未来产业发展的政策选择和措施。</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研究经费：</w:t>
      </w:r>
      <w:r>
        <w:rPr>
          <w:rFonts w:hint="eastAsia" w:ascii="楷体" w:hAnsi="楷体" w:eastAsia="楷体"/>
          <w:sz w:val="32"/>
          <w:szCs w:val="32"/>
        </w:rPr>
        <w:t>≤20万</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中国科协所属学会、协会、研究会，各省、自治区、直辖市、副省级城市科协，新疆生产建设兵团科协，及具有独立法人资格的高校、科研院所等。</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0"/>
          <w:szCs w:val="30"/>
        </w:rPr>
      </w:pPr>
      <w:r>
        <w:rPr>
          <w:rFonts w:hint="eastAsia" w:ascii="Times New Roman" w:hAnsi="Times New Roman" w:eastAsia="楷体"/>
          <w:b/>
          <w:bCs/>
          <w:kern w:val="0"/>
          <w:sz w:val="32"/>
          <w:szCs w:val="32"/>
        </w:rPr>
        <w:t>预期成果：</w:t>
      </w:r>
      <w:r>
        <w:rPr>
          <w:rFonts w:hint="eastAsia" w:ascii="仿宋_GB2312" w:eastAsia="仿宋_GB2312"/>
          <w:sz w:val="32"/>
          <w:szCs w:val="32"/>
        </w:rPr>
        <w:t>研究报告</w:t>
      </w:r>
      <w:r>
        <w:rPr>
          <w:rFonts w:hint="eastAsia" w:ascii="仿宋_GB2312" w:eastAsia="仿宋_GB2312"/>
          <w:sz w:val="32"/>
          <w:szCs w:val="32"/>
          <w:lang w:eastAsia="zh-CN"/>
        </w:rPr>
        <w:t>1份</w:t>
      </w:r>
      <w:r>
        <w:rPr>
          <w:rFonts w:hint="eastAsia" w:ascii="仿宋_GB2312" w:eastAsia="仿宋_GB2312"/>
          <w:sz w:val="32"/>
          <w:szCs w:val="32"/>
        </w:rPr>
        <w:t>；</w:t>
      </w:r>
      <w:r>
        <w:rPr>
          <w:rFonts w:hint="eastAsia" w:ascii="仿宋_GB2312" w:eastAsia="仿宋_GB2312"/>
          <w:sz w:val="32"/>
          <w:szCs w:val="32"/>
          <w:lang w:val="en-US" w:eastAsia="zh-CN"/>
        </w:rPr>
        <w:t>政策建议</w:t>
      </w:r>
      <w:r>
        <w:rPr>
          <w:rFonts w:hint="eastAsia" w:ascii="仿宋_GB2312" w:eastAsia="仿宋_GB2312"/>
          <w:sz w:val="32"/>
          <w:szCs w:val="32"/>
        </w:rPr>
        <w:t>专报</w:t>
      </w:r>
      <w:r>
        <w:rPr>
          <w:rFonts w:hint="eastAsia" w:ascii="仿宋_GB2312" w:eastAsia="仿宋_GB2312"/>
          <w:sz w:val="32"/>
          <w:szCs w:val="32"/>
          <w:lang w:eastAsia="zh-CN"/>
        </w:rPr>
        <w:t>1份</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pacing w:line="560" w:lineRule="exact"/>
        <w:ind w:firstLine="600" w:firstLineChars="200"/>
        <w:textAlignment w:val="auto"/>
        <w:rPr>
          <w:rFonts w:ascii="仿宋_GB2312" w:eastAsia="仿宋_GB2312"/>
          <w:sz w:val="30"/>
          <w:szCs w:val="30"/>
        </w:rPr>
      </w:pPr>
    </w:p>
    <w:p>
      <w:pPr>
        <w:keepNext w:val="0"/>
        <w:keepLines w:val="0"/>
        <w:pageBreakBefore w:val="0"/>
        <w:kinsoku/>
        <w:wordWrap/>
        <w:overflowPunct/>
        <w:topLinePunct w:val="0"/>
        <w:autoSpaceDE/>
        <w:autoSpaceDN/>
        <w:bidi w:val="0"/>
        <w:adjustRightInd/>
        <w:spacing w:line="560" w:lineRule="exact"/>
        <w:textAlignment w:val="auto"/>
        <w:rPr>
          <w:sz w:val="32"/>
          <w:szCs w:val="32"/>
        </w:rPr>
      </w:pPr>
      <w:r>
        <w:rPr>
          <w:rFonts w:hint="eastAsia" w:ascii="楷体" w:hAnsi="楷体" w:eastAsia="楷体" w:cs="Arial"/>
          <w:b/>
          <w:bCs/>
          <w:kern w:val="0"/>
          <w:sz w:val="32"/>
          <w:szCs w:val="32"/>
        </w:rPr>
        <w:t>题目</w:t>
      </w:r>
      <w:r>
        <w:rPr>
          <w:rFonts w:hint="eastAsia" w:ascii="楷体" w:hAnsi="楷体" w:eastAsia="楷体" w:cs="Arial"/>
          <w:b/>
          <w:bCs/>
          <w:kern w:val="0"/>
          <w:sz w:val="32"/>
          <w:szCs w:val="32"/>
          <w:lang w:val="en-US" w:eastAsia="zh-CN"/>
        </w:rPr>
        <w:t>11:</w:t>
      </w:r>
      <w:r>
        <w:rPr>
          <w:rFonts w:hint="eastAsia" w:ascii="楷体" w:hAnsi="楷体" w:eastAsia="楷体" w:cs="Arial"/>
          <w:b/>
          <w:bCs/>
          <w:kern w:val="0"/>
          <w:sz w:val="32"/>
          <w:szCs w:val="32"/>
        </w:rPr>
        <w:t>未来产业发展指数的构建与测评研究</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ascii="楷体" w:hAnsi="楷体" w:eastAsia="楷体" w:cs="Arial"/>
          <w:b/>
          <w:bCs/>
          <w:kern w:val="0"/>
          <w:sz w:val="32"/>
          <w:szCs w:val="32"/>
          <w:lang w:eastAsia="zh-CN"/>
        </w:rPr>
        <w:t>研究内容</w:t>
      </w:r>
      <w:r>
        <w:rPr>
          <w:rFonts w:hint="eastAsia" w:ascii="楷体" w:hAnsi="楷体" w:eastAsia="楷体" w:cs="Arial"/>
          <w:b/>
          <w:bCs/>
          <w:kern w:val="0"/>
          <w:sz w:val="32"/>
          <w:szCs w:val="32"/>
        </w:rPr>
        <w:t>：</w:t>
      </w:r>
      <w:r>
        <w:rPr>
          <w:rFonts w:hint="eastAsia" w:ascii="仿宋_GB2312" w:eastAsia="仿宋_GB2312"/>
          <w:sz w:val="32"/>
          <w:szCs w:val="32"/>
        </w:rPr>
        <w:t>研究构建未来产业发展指数理论模型，包括指标体系的构建、测度方法的选择和评价模型的建立，分析中国未来产业发展的整体水平和各细分领域的发展情况，为未来产业发展提供科学的评价和决策支持。</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0"/>
          <w:szCs w:val="30"/>
        </w:rPr>
      </w:pPr>
      <w:r>
        <w:rPr>
          <w:rFonts w:hint="eastAsia" w:ascii="Times New Roman" w:hAnsi="Times New Roman" w:eastAsia="楷体"/>
          <w:b/>
          <w:bCs/>
          <w:kern w:val="0"/>
          <w:sz w:val="32"/>
          <w:szCs w:val="32"/>
        </w:rPr>
        <w:t>研究经费：</w:t>
      </w:r>
      <w:r>
        <w:rPr>
          <w:rFonts w:hint="eastAsia" w:ascii="楷体" w:hAnsi="楷体" w:eastAsia="楷体"/>
          <w:sz w:val="32"/>
          <w:szCs w:val="32"/>
        </w:rPr>
        <w:t>≤30万</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ascii="Times New Roman" w:hAnsi="Times New Roman"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中国科协所属学会、协会、研究会，各省、自治区、直辖市、副省级城市科协，新疆生产建设兵团科协，及具有独立法人资格的高校、科研院所等。</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r>
        <w:rPr>
          <w:rFonts w:hint="eastAsia" w:eastAsia="楷体"/>
          <w:b/>
          <w:bCs/>
          <w:kern w:val="0"/>
          <w:sz w:val="32"/>
          <w:szCs w:val="32"/>
        </w:rPr>
        <w:t>预期成果：</w:t>
      </w:r>
      <w:r>
        <w:rPr>
          <w:rFonts w:hint="eastAsia" w:ascii="仿宋_GB2312" w:eastAsia="仿宋_GB2312"/>
          <w:sz w:val="32"/>
          <w:szCs w:val="32"/>
        </w:rPr>
        <w:t>研究报告</w:t>
      </w:r>
      <w:r>
        <w:rPr>
          <w:rFonts w:hint="eastAsia" w:ascii="仿宋_GB2312" w:eastAsia="仿宋_GB2312"/>
          <w:sz w:val="32"/>
          <w:szCs w:val="32"/>
          <w:lang w:eastAsia="zh-CN"/>
        </w:rPr>
        <w:t>1份</w:t>
      </w:r>
      <w:r>
        <w:rPr>
          <w:rFonts w:hint="eastAsia" w:ascii="仿宋_GB2312" w:eastAsia="仿宋_GB2312"/>
          <w:sz w:val="32"/>
          <w:szCs w:val="32"/>
        </w:rPr>
        <w:t>；</w:t>
      </w:r>
      <w:r>
        <w:rPr>
          <w:rFonts w:hint="eastAsia" w:ascii="仿宋_GB2312" w:eastAsia="仿宋_GB2312"/>
          <w:sz w:val="32"/>
          <w:szCs w:val="32"/>
          <w:lang w:val="en-US" w:eastAsia="zh-CN"/>
        </w:rPr>
        <w:t>政策建议</w:t>
      </w:r>
      <w:r>
        <w:rPr>
          <w:rFonts w:hint="eastAsia" w:ascii="仿宋_GB2312" w:eastAsia="仿宋_GB2312"/>
          <w:sz w:val="32"/>
          <w:szCs w:val="32"/>
        </w:rPr>
        <w:t>专报</w:t>
      </w:r>
      <w:r>
        <w:rPr>
          <w:rFonts w:hint="eastAsia" w:ascii="仿宋_GB2312" w:eastAsia="仿宋_GB2312"/>
          <w:sz w:val="32"/>
          <w:szCs w:val="32"/>
          <w:lang w:eastAsia="zh-CN"/>
        </w:rPr>
        <w:t>2份</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b/>
          <w:bCs/>
          <w:kern w:val="0"/>
          <w:sz w:val="32"/>
          <w:szCs w:val="32"/>
        </w:rPr>
      </w:pPr>
      <w:r>
        <w:rPr>
          <w:rFonts w:hint="eastAsia" w:ascii="楷体" w:hAnsi="楷体" w:eastAsia="楷体" w:cs="楷体"/>
          <w:b/>
          <w:bCs/>
          <w:kern w:val="0"/>
          <w:sz w:val="32"/>
          <w:szCs w:val="32"/>
        </w:rPr>
        <w:t>题目1</w:t>
      </w:r>
      <w:r>
        <w:rPr>
          <w:rFonts w:hint="eastAsia" w:ascii="楷体" w:hAnsi="楷体" w:eastAsia="楷体" w:cs="楷体"/>
          <w:b/>
          <w:bCs/>
          <w:kern w:val="0"/>
          <w:sz w:val="32"/>
          <w:szCs w:val="32"/>
          <w:lang w:val="en-US" w:eastAsia="zh-CN"/>
        </w:rPr>
        <w:t>2</w:t>
      </w:r>
      <w:r>
        <w:rPr>
          <w:rFonts w:hint="eastAsia" w:ascii="楷体" w:hAnsi="楷体" w:eastAsia="楷体" w:cs="楷体"/>
          <w:b/>
          <w:bCs/>
          <w:kern w:val="0"/>
          <w:sz w:val="32"/>
          <w:szCs w:val="32"/>
        </w:rPr>
        <w:t>：</w:t>
      </w:r>
      <w:r>
        <w:rPr>
          <w:rFonts w:ascii="楷体" w:hAnsi="楷体" w:eastAsia="楷体" w:cs="楷体"/>
          <w:b/>
          <w:bCs/>
          <w:kern w:val="0"/>
          <w:sz w:val="32"/>
          <w:szCs w:val="32"/>
        </w:rPr>
        <w:t>国际</w:t>
      </w:r>
      <w:r>
        <w:rPr>
          <w:rFonts w:hint="eastAsia" w:ascii="楷体" w:hAnsi="楷体" w:eastAsia="楷体" w:cs="楷体"/>
          <w:b/>
          <w:bCs/>
          <w:kern w:val="0"/>
          <w:sz w:val="32"/>
          <w:szCs w:val="32"/>
        </w:rPr>
        <w:t>科技交流</w:t>
      </w:r>
      <w:r>
        <w:rPr>
          <w:rFonts w:ascii="楷体" w:hAnsi="楷体" w:eastAsia="楷体" w:cs="楷体"/>
          <w:b/>
          <w:bCs/>
          <w:kern w:val="0"/>
          <w:sz w:val="32"/>
          <w:szCs w:val="32"/>
        </w:rPr>
        <w:t>合作</w:t>
      </w:r>
      <w:r>
        <w:rPr>
          <w:rFonts w:hint="eastAsia" w:ascii="楷体" w:hAnsi="楷体" w:eastAsia="楷体" w:cs="楷体"/>
          <w:b/>
          <w:bCs/>
          <w:kern w:val="0"/>
          <w:sz w:val="32"/>
          <w:szCs w:val="32"/>
        </w:rPr>
        <w:t>面临的问题和对策研究</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eastAsia="楷体"/>
          <w:b/>
          <w:bCs/>
          <w:kern w:val="0"/>
          <w:sz w:val="32"/>
          <w:szCs w:val="32"/>
        </w:rPr>
        <w:t>研究内容：</w:t>
      </w:r>
      <w:r>
        <w:rPr>
          <w:rFonts w:hint="eastAsia" w:ascii="仿宋_GB2312" w:eastAsia="仿宋_GB2312"/>
          <w:sz w:val="32"/>
          <w:szCs w:val="32"/>
        </w:rPr>
        <w:t>本课题基于客观数据分析和典型案例调研，准确研判当前国际科技交流合作的新形势新任务新挑战，从资源配置、机制平台、成果产出、人才交流等方面，全面梳理和总结近年来我国开展国际科技交流合作的现状，分析面临的主要问题和制约因素，立足我国实际研究提出对策建议，为进一步扩大国际科技交流合作、形成具有全球竞争力的开放创新生态、助力加快实现高水平科技自立自强提供决策支撑。</w:t>
      </w:r>
    </w:p>
    <w:p>
      <w:pPr>
        <w:keepNext w:val="0"/>
        <w:keepLines w:val="0"/>
        <w:pageBreakBefore w:val="0"/>
        <w:kinsoku/>
        <w:wordWrap/>
        <w:overflowPunct/>
        <w:topLinePunct w:val="0"/>
        <w:autoSpaceDE/>
        <w:autoSpaceDN/>
        <w:bidi w:val="0"/>
        <w:adjustRightInd/>
        <w:spacing w:line="560" w:lineRule="exact"/>
        <w:textAlignment w:val="auto"/>
        <w:rPr>
          <w:rFonts w:eastAsia="楷体"/>
          <w:b/>
          <w:bCs/>
          <w:kern w:val="0"/>
          <w:sz w:val="32"/>
          <w:szCs w:val="32"/>
        </w:rPr>
      </w:pPr>
      <w:r>
        <w:rPr>
          <w:rFonts w:hint="eastAsia"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sz w:val="32"/>
          <w:szCs w:val="32"/>
        </w:rPr>
      </w:pPr>
      <w:r>
        <w:rPr>
          <w:rFonts w:hint="eastAsia" w:eastAsia="楷体"/>
          <w:b/>
          <w:bCs/>
          <w:kern w:val="0"/>
          <w:sz w:val="32"/>
          <w:szCs w:val="32"/>
        </w:rPr>
        <w:t>研究经费：</w:t>
      </w:r>
      <w:r>
        <w:rPr>
          <w:rFonts w:hint="eastAsia" w:ascii="楷体" w:hAnsi="楷体" w:eastAsia="楷体"/>
          <w:sz w:val="32"/>
          <w:szCs w:val="32"/>
        </w:rPr>
        <w:t>≤20万</w:t>
      </w:r>
    </w:p>
    <w:p>
      <w:pPr>
        <w:keepNext w:val="0"/>
        <w:keepLines w:val="0"/>
        <w:pageBreakBefore w:val="0"/>
        <w:kinsoku/>
        <w:wordWrap/>
        <w:overflowPunct/>
        <w:topLinePunct w:val="0"/>
        <w:autoSpaceDE/>
        <w:autoSpaceDN/>
        <w:bidi w:val="0"/>
        <w:adjustRightInd/>
        <w:spacing w:line="560" w:lineRule="exact"/>
        <w:textAlignment w:val="auto"/>
        <w:outlineLvl w:val="0"/>
        <w:rPr>
          <w:rFonts w:hint="eastAsia" w:ascii="仿宋_GB2312" w:eastAsia="仿宋_GB2312"/>
          <w:sz w:val="32"/>
          <w:szCs w:val="32"/>
        </w:rPr>
      </w:pPr>
      <w:r>
        <w:rPr>
          <w:rFonts w:hint="eastAsia" w:eastAsia="楷体"/>
          <w:b/>
          <w:bCs/>
          <w:kern w:val="0"/>
          <w:sz w:val="32"/>
          <w:szCs w:val="32"/>
        </w:rPr>
        <w:t>申报对象：</w:t>
      </w:r>
      <w:r>
        <w:rPr>
          <w:rFonts w:hint="eastAsia" w:ascii="仿宋_GB2312" w:eastAsia="仿宋_GB2312"/>
          <w:sz w:val="32"/>
          <w:szCs w:val="32"/>
        </w:rPr>
        <w:t>中国科协所属学会、协会、研究会，各省、自治区、直辖市、副省级城市科协，新疆生产建设兵团科协，具有独立法人资格的高校、科研院所等，有充分的相关研究基础或工作基础。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eastAsia="楷体"/>
          <w:b/>
          <w:bCs/>
          <w:kern w:val="0"/>
          <w:sz w:val="32"/>
          <w:szCs w:val="32"/>
        </w:rPr>
        <w:t>预期成果：</w:t>
      </w:r>
      <w:r>
        <w:rPr>
          <w:rFonts w:hint="eastAsia" w:ascii="仿宋_GB2312" w:hAnsi="仿宋_GB2312" w:eastAsia="仿宋_GB2312" w:cs="仿宋_GB2312"/>
          <w:sz w:val="32"/>
          <w:szCs w:val="32"/>
        </w:rPr>
        <w:t>研究报告1份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政策建议专报</w:t>
      </w:r>
      <w:r>
        <w:rPr>
          <w:rFonts w:hint="eastAsia" w:ascii="仿宋_GB2312" w:hAnsi="仿宋_GB2312" w:eastAsia="仿宋_GB2312" w:cs="仿宋_GB2312"/>
          <w:sz w:val="32"/>
          <w:szCs w:val="32"/>
          <w:lang w:eastAsia="zh-CN"/>
        </w:rPr>
        <w:t>2份；</w:t>
      </w:r>
      <w:r>
        <w:rPr>
          <w:rFonts w:ascii="仿宋_GB2312" w:hAnsi="仿宋_GB2312" w:eastAsia="仿宋_GB2312" w:cs="仿宋_GB2312"/>
          <w:sz w:val="32"/>
          <w:szCs w:val="32"/>
        </w:rPr>
        <w:t>其他</w:t>
      </w:r>
      <w:r>
        <w:rPr>
          <w:rFonts w:hint="eastAsia" w:ascii="仿宋_GB2312" w:hAnsi="仿宋_GB2312" w:eastAsia="仿宋_GB2312" w:cs="仿宋_GB2312"/>
          <w:sz w:val="32"/>
          <w:szCs w:val="32"/>
        </w:rPr>
        <w:t>调研案例</w:t>
      </w:r>
      <w:r>
        <w:rPr>
          <w:rFonts w:ascii="仿宋_GB2312" w:hAnsi="仿宋_GB2312" w:eastAsia="仿宋_GB2312" w:cs="仿宋_GB2312"/>
          <w:sz w:val="32"/>
          <w:szCs w:val="32"/>
        </w:rPr>
        <w:t>材料等</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b/>
          <w:bCs/>
          <w:kern w:val="0"/>
          <w:sz w:val="32"/>
          <w:szCs w:val="32"/>
        </w:rPr>
      </w:pPr>
      <w:r>
        <w:rPr>
          <w:rFonts w:hint="eastAsia" w:ascii="楷体" w:hAnsi="楷体" w:eastAsia="楷体" w:cs="楷体"/>
          <w:b/>
          <w:bCs/>
          <w:kern w:val="0"/>
          <w:sz w:val="32"/>
          <w:szCs w:val="32"/>
        </w:rPr>
        <w:t>题目</w:t>
      </w:r>
      <w:r>
        <w:rPr>
          <w:rFonts w:hint="eastAsia" w:ascii="楷体" w:hAnsi="楷体" w:eastAsia="楷体" w:cs="楷体"/>
          <w:b/>
          <w:bCs/>
          <w:kern w:val="0"/>
          <w:sz w:val="32"/>
          <w:szCs w:val="32"/>
          <w:lang w:val="en-US" w:eastAsia="zh-CN"/>
        </w:rPr>
        <w:t>13</w:t>
      </w:r>
      <w:r>
        <w:rPr>
          <w:rFonts w:hint="eastAsia" w:ascii="楷体" w:hAnsi="楷体" w:eastAsia="楷体" w:cs="楷体"/>
          <w:b/>
          <w:bCs/>
          <w:kern w:val="0"/>
          <w:sz w:val="32"/>
          <w:szCs w:val="32"/>
        </w:rPr>
        <w:t>：我国</w:t>
      </w:r>
      <w:r>
        <w:rPr>
          <w:rFonts w:ascii="楷体" w:hAnsi="楷体" w:eastAsia="楷体" w:cs="楷体"/>
          <w:b/>
          <w:bCs/>
          <w:kern w:val="0"/>
          <w:sz w:val="32"/>
          <w:szCs w:val="32"/>
        </w:rPr>
        <w:t>工程师群体</w:t>
      </w:r>
      <w:r>
        <w:rPr>
          <w:rFonts w:hint="eastAsia" w:ascii="楷体" w:hAnsi="楷体" w:eastAsia="楷体" w:cs="楷体"/>
          <w:b/>
          <w:bCs/>
          <w:kern w:val="0"/>
          <w:sz w:val="32"/>
          <w:szCs w:val="32"/>
        </w:rPr>
        <w:t>成长发展</w:t>
      </w:r>
      <w:r>
        <w:rPr>
          <w:rFonts w:ascii="楷体" w:hAnsi="楷体" w:eastAsia="楷体" w:cs="楷体"/>
          <w:b/>
          <w:bCs/>
          <w:kern w:val="0"/>
          <w:sz w:val="32"/>
          <w:szCs w:val="32"/>
        </w:rPr>
        <w:t>需求</w:t>
      </w:r>
      <w:r>
        <w:rPr>
          <w:rFonts w:hint="eastAsia" w:ascii="楷体" w:hAnsi="楷体" w:eastAsia="楷体" w:cs="楷体"/>
          <w:b/>
          <w:bCs/>
          <w:kern w:val="0"/>
          <w:sz w:val="32"/>
          <w:szCs w:val="32"/>
        </w:rPr>
        <w:t>调研</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eastAsia="楷体"/>
          <w:b/>
          <w:bCs/>
          <w:kern w:val="0"/>
          <w:sz w:val="32"/>
          <w:szCs w:val="32"/>
        </w:rPr>
        <w:t>研究内容：</w:t>
      </w:r>
      <w:r>
        <w:rPr>
          <w:rFonts w:hint="eastAsia" w:ascii="仿宋_GB2312" w:hAnsi="仿宋_GB2312" w:eastAsia="仿宋_GB2312" w:cs="仿宋_GB2312"/>
          <w:sz w:val="32"/>
          <w:szCs w:val="32"/>
        </w:rPr>
        <w:t>卓越工程师是国家战略人才力量的重要组成部分。本课题以我国工程师群体为研究对象，在厘清概念基础上进行分类刻画，掌握工程师队伍分布的单位类型和调研渠道，选取重点区域和典型行业开展调研，以问卷调查、实地访谈和案例分析相结合方式，了解工程师群体在工程技术创新、职业发展、人才培养和其他方面的状况，反映他们成长发展的需求建议，分析当前工程师队伍建设和作用发挥存在的问题，研究提出有针对性的政策措施</w:t>
      </w:r>
      <w:r>
        <w:rPr>
          <w:rFonts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sz w:val="32"/>
          <w:szCs w:val="32"/>
        </w:rPr>
      </w:pPr>
      <w:r>
        <w:rPr>
          <w:rFonts w:hint="eastAsia"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sz w:val="32"/>
          <w:szCs w:val="32"/>
        </w:rPr>
      </w:pPr>
      <w:r>
        <w:rPr>
          <w:rFonts w:hint="eastAsia" w:eastAsia="楷体"/>
          <w:b/>
          <w:bCs/>
          <w:kern w:val="0"/>
          <w:sz w:val="32"/>
          <w:szCs w:val="32"/>
        </w:rPr>
        <w:t>研究经费：</w:t>
      </w:r>
      <w:r>
        <w:rPr>
          <w:rFonts w:hint="eastAsia" w:ascii="楷体" w:hAnsi="楷体" w:eastAsia="楷体"/>
          <w:sz w:val="32"/>
          <w:szCs w:val="32"/>
        </w:rPr>
        <w:t>≤</w:t>
      </w:r>
      <w:r>
        <w:rPr>
          <w:rFonts w:ascii="楷体" w:hAnsi="楷体" w:eastAsia="楷体"/>
          <w:sz w:val="32"/>
          <w:szCs w:val="32"/>
        </w:rPr>
        <w:t>30</w:t>
      </w:r>
      <w:r>
        <w:rPr>
          <w:rFonts w:hint="eastAsia" w:ascii="楷体" w:hAnsi="楷体" w:eastAsia="楷体"/>
          <w:sz w:val="32"/>
          <w:szCs w:val="32"/>
        </w:rPr>
        <w:t>万</w:t>
      </w:r>
    </w:p>
    <w:p>
      <w:pPr>
        <w:keepNext w:val="0"/>
        <w:keepLines w:val="0"/>
        <w:pageBreakBefore w:val="0"/>
        <w:kinsoku/>
        <w:wordWrap/>
        <w:overflowPunct/>
        <w:topLinePunct w:val="0"/>
        <w:autoSpaceDE/>
        <w:autoSpaceDN/>
        <w:bidi w:val="0"/>
        <w:adjustRightInd/>
        <w:spacing w:line="560" w:lineRule="exact"/>
        <w:textAlignment w:val="auto"/>
        <w:outlineLvl w:val="0"/>
        <w:rPr>
          <w:rFonts w:ascii="仿宋_GB2312" w:hAnsi="宋体" w:eastAsia="仿宋_GB2312" w:cs="Arial"/>
          <w:color w:val="333333"/>
          <w:kern w:val="0"/>
          <w:sz w:val="32"/>
          <w:szCs w:val="32"/>
        </w:rPr>
      </w:pPr>
      <w:r>
        <w:rPr>
          <w:rFonts w:hint="eastAsia" w:eastAsia="楷体"/>
          <w:b/>
          <w:bCs/>
          <w:kern w:val="0"/>
          <w:sz w:val="32"/>
          <w:szCs w:val="32"/>
        </w:rPr>
        <w:t>申报对象：</w:t>
      </w:r>
      <w:r>
        <w:rPr>
          <w:rFonts w:hint="eastAsia" w:ascii="仿宋_GB2312" w:hAnsi="宋体" w:eastAsia="仿宋_GB2312" w:cs="Arial"/>
          <w:color w:val="000000"/>
          <w:kern w:val="0"/>
          <w:sz w:val="32"/>
          <w:szCs w:val="32"/>
        </w:rPr>
        <w:t>中国科协所属学会、协会、研究会，各省、自治区、直辖市、副省级城市科协，新疆生产建设兵团科协，具有独立法人资格的高校、科研院所等</w:t>
      </w:r>
      <w:r>
        <w:rPr>
          <w:rFonts w:hint="eastAsia" w:ascii="仿宋_GB2312" w:eastAsia="仿宋_GB2312"/>
          <w:color w:val="000000"/>
          <w:sz w:val="32"/>
          <w:szCs w:val="32"/>
        </w:rPr>
        <w:t>，</w:t>
      </w:r>
      <w:r>
        <w:rPr>
          <w:rFonts w:hint="eastAsia" w:ascii="仿宋_GB2312" w:hAnsi="宋体" w:eastAsia="仿宋_GB2312" w:cs="Arial"/>
          <w:color w:val="000000"/>
          <w:kern w:val="0"/>
          <w:sz w:val="32"/>
          <w:szCs w:val="32"/>
        </w:rPr>
        <w:t>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eastAsia="楷体"/>
          <w:b/>
          <w:bCs/>
          <w:kern w:val="0"/>
          <w:sz w:val="32"/>
          <w:szCs w:val="32"/>
        </w:rPr>
        <w:t>预期成果：</w:t>
      </w:r>
      <w:r>
        <w:rPr>
          <w:rFonts w:hint="eastAsia" w:ascii="仿宋_GB2312" w:hAnsi="仿宋_GB2312" w:eastAsia="仿宋_GB2312" w:cs="仿宋_GB2312"/>
          <w:sz w:val="32"/>
          <w:szCs w:val="32"/>
        </w:rPr>
        <w:t>课题研究报告1份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政策建议专报</w:t>
      </w:r>
      <w:r>
        <w:rPr>
          <w:rFonts w:hint="eastAsia" w:ascii="仿宋_GB2312" w:hAnsi="仿宋_GB2312" w:eastAsia="仿宋_GB2312" w:cs="仿宋_GB2312"/>
          <w:sz w:val="32"/>
          <w:szCs w:val="32"/>
          <w:lang w:eastAsia="zh-CN"/>
        </w:rPr>
        <w:t>2份；</w:t>
      </w:r>
      <w:r>
        <w:rPr>
          <w:rFonts w:ascii="仿宋_GB2312" w:hAnsi="仿宋_GB2312" w:eastAsia="仿宋_GB2312" w:cs="仿宋_GB2312"/>
          <w:sz w:val="32"/>
          <w:szCs w:val="32"/>
        </w:rPr>
        <w:t>调查数据集和案例</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pacing w:line="560" w:lineRule="exact"/>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cs="楷体"/>
          <w:b/>
          <w:bCs/>
          <w:kern w:val="0"/>
          <w:sz w:val="32"/>
          <w:szCs w:val="32"/>
        </w:rPr>
      </w:pPr>
      <w:r>
        <w:rPr>
          <w:rFonts w:hint="eastAsia" w:ascii="楷体" w:hAnsi="楷体" w:eastAsia="楷体" w:cs="楷体"/>
          <w:b/>
          <w:bCs/>
          <w:kern w:val="0"/>
          <w:sz w:val="32"/>
          <w:szCs w:val="32"/>
        </w:rPr>
        <w:t>题目</w:t>
      </w:r>
      <w:r>
        <w:rPr>
          <w:rFonts w:hint="eastAsia" w:ascii="楷体" w:hAnsi="楷体" w:eastAsia="楷体" w:cs="楷体"/>
          <w:b/>
          <w:bCs/>
          <w:kern w:val="0"/>
          <w:sz w:val="32"/>
          <w:szCs w:val="32"/>
          <w:lang w:val="en-US" w:eastAsia="zh-CN"/>
        </w:rPr>
        <w:t>14</w:t>
      </w:r>
      <w:r>
        <w:rPr>
          <w:rFonts w:hint="eastAsia" w:ascii="楷体" w:hAnsi="楷体" w:eastAsia="楷体" w:cs="楷体"/>
          <w:b/>
          <w:bCs/>
          <w:kern w:val="0"/>
          <w:sz w:val="32"/>
          <w:szCs w:val="32"/>
        </w:rPr>
        <w:t>：支撑</w:t>
      </w:r>
      <w:r>
        <w:rPr>
          <w:rFonts w:ascii="楷体" w:hAnsi="楷体" w:eastAsia="楷体" w:cs="楷体"/>
          <w:b/>
          <w:bCs/>
          <w:kern w:val="0"/>
          <w:sz w:val="32"/>
          <w:szCs w:val="32"/>
        </w:rPr>
        <w:t>高水平科技自立自强的人才制度体系研究</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eastAsia="楷体"/>
          <w:b/>
          <w:bCs/>
          <w:kern w:val="0"/>
          <w:sz w:val="32"/>
          <w:szCs w:val="32"/>
        </w:rPr>
        <w:t>研究内容：</w:t>
      </w:r>
      <w:r>
        <w:rPr>
          <w:rFonts w:hint="eastAsia" w:ascii="仿宋_GB2312" w:hAnsi="仿宋_GB2312" w:eastAsia="仿宋_GB2312" w:cs="仿宋_GB2312"/>
          <w:sz w:val="32"/>
          <w:szCs w:val="32"/>
        </w:rPr>
        <w:t>加快建设科技强国，实现高水平科技自立自强，要求构建适应高质量发展的人才制度体系。本课题对照国家战略目标需求，界定人才制度体系的内涵和构成，突出塑造人才国际竞争比较优势，分析我国科技人才队伍素质能力、梯队结构、领域分布、区域雁阵格局等方面现状及问题，找出当前和未来一个时期应加强的政策着力点，从政策理念、主体、工具、路径及环境等方面提出具有针对性、创新性对策建议。</w:t>
      </w:r>
    </w:p>
    <w:p>
      <w:pPr>
        <w:keepNext w:val="0"/>
        <w:keepLines w:val="0"/>
        <w:pageBreakBefore w:val="0"/>
        <w:kinsoku/>
        <w:wordWrap/>
        <w:overflowPunct/>
        <w:topLinePunct w:val="0"/>
        <w:autoSpaceDE/>
        <w:autoSpaceDN/>
        <w:bidi w:val="0"/>
        <w:adjustRightInd/>
        <w:spacing w:line="560" w:lineRule="exact"/>
        <w:textAlignment w:val="auto"/>
        <w:rPr>
          <w:rFonts w:eastAsia="楷体"/>
          <w:b/>
          <w:bCs/>
          <w:kern w:val="0"/>
          <w:sz w:val="32"/>
          <w:szCs w:val="32"/>
        </w:rPr>
      </w:pPr>
      <w:r>
        <w:rPr>
          <w:rFonts w:hint="eastAsia" w:eastAsia="楷体"/>
          <w:b/>
          <w:bCs/>
          <w:kern w:val="0"/>
          <w:sz w:val="32"/>
          <w:szCs w:val="32"/>
        </w:rPr>
        <w:t>研究期限：</w:t>
      </w:r>
      <w:r>
        <w:rPr>
          <w:rFonts w:hint="eastAsia" w:ascii="楷体" w:hAnsi="楷体" w:eastAsia="楷体"/>
          <w:sz w:val="32"/>
          <w:szCs w:val="32"/>
        </w:rPr>
        <w:t>2023年11月至2024年11月</w:t>
      </w:r>
    </w:p>
    <w:p>
      <w:pPr>
        <w:keepNext w:val="0"/>
        <w:keepLines w:val="0"/>
        <w:pageBreakBefore w:val="0"/>
        <w:kinsoku/>
        <w:wordWrap/>
        <w:overflowPunct/>
        <w:topLinePunct w:val="0"/>
        <w:autoSpaceDE/>
        <w:autoSpaceDN/>
        <w:bidi w:val="0"/>
        <w:adjustRightInd/>
        <w:spacing w:line="560" w:lineRule="exact"/>
        <w:textAlignment w:val="auto"/>
        <w:rPr>
          <w:rFonts w:ascii="楷体" w:hAnsi="楷体" w:eastAsia="楷体"/>
          <w:sz w:val="32"/>
          <w:szCs w:val="32"/>
        </w:rPr>
      </w:pPr>
      <w:r>
        <w:rPr>
          <w:rFonts w:hint="eastAsia" w:eastAsia="楷体"/>
          <w:b/>
          <w:bCs/>
          <w:kern w:val="0"/>
          <w:sz w:val="32"/>
          <w:szCs w:val="32"/>
        </w:rPr>
        <w:t>研究经费：</w:t>
      </w:r>
      <w:r>
        <w:rPr>
          <w:rFonts w:hint="eastAsia" w:ascii="楷体" w:hAnsi="楷体" w:eastAsia="楷体"/>
          <w:sz w:val="32"/>
          <w:szCs w:val="32"/>
        </w:rPr>
        <w:t>≤</w:t>
      </w:r>
      <w:r>
        <w:rPr>
          <w:rFonts w:ascii="楷体" w:hAnsi="楷体" w:eastAsia="楷体"/>
          <w:sz w:val="32"/>
          <w:szCs w:val="32"/>
        </w:rPr>
        <w:t>3</w:t>
      </w:r>
      <w:r>
        <w:rPr>
          <w:rFonts w:hint="eastAsia" w:ascii="楷体" w:hAnsi="楷体" w:eastAsia="楷体"/>
          <w:sz w:val="32"/>
          <w:szCs w:val="32"/>
        </w:rPr>
        <w:t>0万</w:t>
      </w:r>
    </w:p>
    <w:p>
      <w:pPr>
        <w:keepNext w:val="0"/>
        <w:keepLines w:val="0"/>
        <w:pageBreakBefore w:val="0"/>
        <w:kinsoku/>
        <w:wordWrap/>
        <w:overflowPunct/>
        <w:topLinePunct w:val="0"/>
        <w:autoSpaceDE/>
        <w:autoSpaceDN/>
        <w:bidi w:val="0"/>
        <w:adjustRightInd/>
        <w:spacing w:line="560" w:lineRule="exact"/>
        <w:textAlignment w:val="auto"/>
        <w:outlineLvl w:val="0"/>
        <w:rPr>
          <w:rFonts w:ascii="仿宋_GB2312" w:hAnsi="宋体" w:eastAsia="仿宋_GB2312" w:cs="Arial"/>
          <w:color w:val="333333"/>
          <w:kern w:val="0"/>
          <w:sz w:val="32"/>
          <w:szCs w:val="32"/>
        </w:rPr>
      </w:pPr>
      <w:r>
        <w:rPr>
          <w:rFonts w:hint="eastAsia" w:eastAsia="楷体"/>
          <w:b/>
          <w:bCs/>
          <w:kern w:val="0"/>
          <w:sz w:val="32"/>
          <w:szCs w:val="32"/>
        </w:rPr>
        <w:t>申报对象：</w:t>
      </w:r>
      <w:r>
        <w:rPr>
          <w:rFonts w:hint="eastAsia" w:ascii="仿宋_GB2312" w:hAnsi="宋体" w:eastAsia="仿宋_GB2312" w:cs="Arial"/>
          <w:color w:val="000000"/>
          <w:kern w:val="0"/>
          <w:sz w:val="32"/>
          <w:szCs w:val="32"/>
        </w:rPr>
        <w:t>中国科协所属学会、协会、研究会，各省、自治区、直辖市、副省级城市科协，新疆生产建设兵团科协，具有独立法人资格的高校、科研院所等</w:t>
      </w:r>
      <w:r>
        <w:rPr>
          <w:rFonts w:hint="eastAsia" w:ascii="仿宋_GB2312" w:eastAsia="仿宋_GB2312"/>
          <w:color w:val="000000"/>
          <w:sz w:val="32"/>
          <w:szCs w:val="32"/>
        </w:rPr>
        <w:t>，</w:t>
      </w:r>
      <w:r>
        <w:rPr>
          <w:rFonts w:hint="eastAsia" w:ascii="仿宋_GB2312" w:hAnsi="宋体" w:eastAsia="仿宋_GB2312" w:cs="Arial"/>
          <w:color w:val="000000"/>
          <w:kern w:val="0"/>
          <w:sz w:val="32"/>
          <w:szCs w:val="32"/>
        </w:rPr>
        <w:t>有充分的相关研究基础或工作基础。</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eastAsia="楷体"/>
          <w:b/>
          <w:bCs/>
          <w:kern w:val="0"/>
          <w:sz w:val="32"/>
          <w:szCs w:val="32"/>
        </w:rPr>
        <w:t>预期成果：</w:t>
      </w:r>
      <w:r>
        <w:rPr>
          <w:rFonts w:hint="eastAsia" w:ascii="仿宋_GB2312" w:hAnsi="仿宋_GB2312" w:eastAsia="仿宋_GB2312" w:cs="仿宋_GB2312"/>
          <w:sz w:val="32"/>
          <w:szCs w:val="32"/>
        </w:rPr>
        <w:t>研究报告1份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政策建议专报</w:t>
      </w:r>
      <w:r>
        <w:rPr>
          <w:rFonts w:hint="eastAsia" w:ascii="仿宋_GB2312" w:hAnsi="仿宋_GB2312" w:eastAsia="仿宋_GB2312" w:cs="仿宋_GB2312"/>
          <w:sz w:val="32"/>
          <w:szCs w:val="32"/>
          <w:lang w:eastAsia="zh-CN"/>
        </w:rPr>
        <w:t>2份</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6A63CAC-E456-4F26-99A4-8D2E3D5E0FF6}"/>
  </w:font>
  <w:font w:name="黑体">
    <w:panose1 w:val="02010609060101010101"/>
    <w:charset w:val="86"/>
    <w:family w:val="auto"/>
    <w:pitch w:val="default"/>
    <w:sig w:usb0="800002BF" w:usb1="38CF7CFA" w:usb2="00000016" w:usb3="00000000" w:csb0="00040001" w:csb1="00000000"/>
    <w:embedRegular r:id="rId2" w:fontKey="{3816CF3D-B4DC-44B1-9D4C-8E260E6449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6482446B-343B-4888-8A8B-81B752B96A4C}"/>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4" w:fontKey="{8BDC26A6-A3FC-483B-AE4B-095602BB2321}"/>
  </w:font>
  <w:font w:name="楷体">
    <w:panose1 w:val="02010609060101010101"/>
    <w:charset w:val="86"/>
    <w:family w:val="auto"/>
    <w:pitch w:val="default"/>
    <w:sig w:usb0="800002BF" w:usb1="38CF7CFA" w:usb2="00000016" w:usb3="00000000" w:csb0="00040001" w:csb1="00000000"/>
    <w:embedRegular r:id="rId5" w:fontKey="{A14C8A17-B01B-4FCA-9FD6-1EB11A18C796}"/>
  </w:font>
  <w:font w:name="小标宋">
    <w:panose1 w:val="03000509000000000000"/>
    <w:charset w:val="86"/>
    <w:family w:val="script"/>
    <w:pitch w:val="default"/>
    <w:sig w:usb0="00000001" w:usb1="080E0000" w:usb2="00000000" w:usb3="00000000" w:csb0="00040000" w:csb1="00000000"/>
    <w:embedRegular r:id="rId6" w:fontKey="{DEE1FAD9-071D-4BEE-8F28-46A409A0E6BF}"/>
  </w:font>
  <w:font w:name="楷体_GB2312">
    <w:altName w:val="楷体"/>
    <w:panose1 w:val="020B0604020202020204"/>
    <w:charset w:val="86"/>
    <w:family w:val="modern"/>
    <w:pitch w:val="default"/>
    <w:sig w:usb0="00000000" w:usb1="00000000" w:usb2="00000010" w:usb3="00000000" w:csb0="00040000" w:csb1="00000000"/>
    <w:embedRegular r:id="rId7" w:fontKey="{D365663B-0788-4AE9-8852-2C52A12D074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NTczNGUzOTM0ZGQ5ZTA4MDYyNzk1YWZiNjE5MDQifQ=="/>
  </w:docVars>
  <w:rsids>
    <w:rsidRoot w:val="10611317"/>
    <w:rsid w:val="01B70BE3"/>
    <w:rsid w:val="01DC76FE"/>
    <w:rsid w:val="06F974D5"/>
    <w:rsid w:val="07462B5A"/>
    <w:rsid w:val="07676974"/>
    <w:rsid w:val="098E3A7F"/>
    <w:rsid w:val="0A8F7AAE"/>
    <w:rsid w:val="0C4A7A7D"/>
    <w:rsid w:val="0FD3139E"/>
    <w:rsid w:val="0FDA1211"/>
    <w:rsid w:val="10611317"/>
    <w:rsid w:val="12643A26"/>
    <w:rsid w:val="13347F2F"/>
    <w:rsid w:val="170F2F24"/>
    <w:rsid w:val="1B124510"/>
    <w:rsid w:val="1E374BEE"/>
    <w:rsid w:val="1F187491"/>
    <w:rsid w:val="1F505606"/>
    <w:rsid w:val="203F2240"/>
    <w:rsid w:val="21343A9A"/>
    <w:rsid w:val="2178739E"/>
    <w:rsid w:val="266C11B6"/>
    <w:rsid w:val="273D1583"/>
    <w:rsid w:val="2AAD72A8"/>
    <w:rsid w:val="2B0568BE"/>
    <w:rsid w:val="2B6F0A4D"/>
    <w:rsid w:val="2F544C9F"/>
    <w:rsid w:val="2F895F70"/>
    <w:rsid w:val="2FF25A2F"/>
    <w:rsid w:val="300E3119"/>
    <w:rsid w:val="30597D2E"/>
    <w:rsid w:val="3149420A"/>
    <w:rsid w:val="319E66A5"/>
    <w:rsid w:val="31F938DC"/>
    <w:rsid w:val="347463FA"/>
    <w:rsid w:val="353E6338"/>
    <w:rsid w:val="3674547C"/>
    <w:rsid w:val="37A225B0"/>
    <w:rsid w:val="39AA4733"/>
    <w:rsid w:val="3E512963"/>
    <w:rsid w:val="3F773CE3"/>
    <w:rsid w:val="41546D80"/>
    <w:rsid w:val="421A73AD"/>
    <w:rsid w:val="43795F0C"/>
    <w:rsid w:val="447334B4"/>
    <w:rsid w:val="473E002B"/>
    <w:rsid w:val="4B2A2AAD"/>
    <w:rsid w:val="4BAC6894"/>
    <w:rsid w:val="4FD413AD"/>
    <w:rsid w:val="50484B47"/>
    <w:rsid w:val="505932F0"/>
    <w:rsid w:val="51124B24"/>
    <w:rsid w:val="5248427D"/>
    <w:rsid w:val="56523597"/>
    <w:rsid w:val="56597474"/>
    <w:rsid w:val="573E1D45"/>
    <w:rsid w:val="57580F21"/>
    <w:rsid w:val="5A342588"/>
    <w:rsid w:val="5A4B3A33"/>
    <w:rsid w:val="5A6B3667"/>
    <w:rsid w:val="5C4653FF"/>
    <w:rsid w:val="5C7631DE"/>
    <w:rsid w:val="5CE012E2"/>
    <w:rsid w:val="5F01684D"/>
    <w:rsid w:val="60B115FD"/>
    <w:rsid w:val="61AB3132"/>
    <w:rsid w:val="631A7413"/>
    <w:rsid w:val="6A7C125B"/>
    <w:rsid w:val="6D646098"/>
    <w:rsid w:val="6E9965A4"/>
    <w:rsid w:val="711F7F62"/>
    <w:rsid w:val="714E32FC"/>
    <w:rsid w:val="73087933"/>
    <w:rsid w:val="736977BC"/>
    <w:rsid w:val="75773426"/>
    <w:rsid w:val="779E658F"/>
    <w:rsid w:val="77AB254F"/>
    <w:rsid w:val="7C580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0"/>
    <w:pPr>
      <w:widowControl/>
      <w:spacing w:before="-2147483648" w:beforeAutospacing="1" w:after="-2147483648" w:afterAutospacing="1"/>
      <w:jc w:val="left"/>
      <w:outlineLvl w:val="0"/>
    </w:pPr>
    <w:rPr>
      <w:rFonts w:ascii="宋体" w:hAnsi="宋体" w:eastAsia="黑体" w:cs="宋体"/>
      <w:bCs/>
      <w:kern w:val="36"/>
      <w:sz w:val="32"/>
      <w:szCs w:val="48"/>
    </w:rPr>
  </w:style>
  <w:style w:type="paragraph" w:styleId="3">
    <w:name w:val="heading 2"/>
    <w:basedOn w:val="1"/>
    <w:next w:val="1"/>
    <w:link w:val="13"/>
    <w:semiHidden/>
    <w:unhideWhenUsed/>
    <w:qFormat/>
    <w:uiPriority w:val="0"/>
    <w:pPr>
      <w:keepNext/>
      <w:keepLines/>
      <w:spacing w:before="50" w:beforeLines="50" w:after="50" w:afterLines="50" w:line="360" w:lineRule="auto"/>
      <w:outlineLvl w:val="1"/>
    </w:pPr>
    <w:rPr>
      <w:rFonts w:eastAsia="仿宋_GB2312" w:asciiTheme="majorAscii" w:hAnsiTheme="majorAscii" w:cstheme="majorBidi"/>
      <w:b/>
      <w:bCs/>
      <w:sz w:val="32"/>
      <w:szCs w:val="32"/>
    </w:rPr>
  </w:style>
  <w:style w:type="paragraph" w:styleId="4">
    <w:name w:val="heading 3"/>
    <w:basedOn w:val="1"/>
    <w:next w:val="1"/>
    <w:semiHidden/>
    <w:unhideWhenUsed/>
    <w:qFormat/>
    <w:uiPriority w:val="0"/>
    <w:pPr>
      <w:keepNext/>
      <w:keepLines/>
      <w:widowControl/>
      <w:tabs>
        <w:tab w:val="left" w:pos="3402"/>
      </w:tabs>
      <w:spacing w:before="260" w:after="260" w:line="416" w:lineRule="auto"/>
      <w:jc w:val="left"/>
      <w:outlineLvl w:val="2"/>
    </w:pPr>
    <w:rPr>
      <w:rFonts w:ascii="Times New Roman" w:hAnsi="Times New Roman" w:eastAsia="仿宋_GB2312" w:cs="Times New Roman"/>
      <w:b/>
      <w:bCs/>
      <w:sz w:val="32"/>
      <w:szCs w:val="32"/>
    </w:rPr>
  </w:style>
  <w:style w:type="paragraph" w:styleId="5">
    <w:name w:val="heading 4"/>
    <w:basedOn w:val="6"/>
    <w:next w:val="6"/>
    <w:semiHidden/>
    <w:unhideWhenUsed/>
    <w:qFormat/>
    <w:uiPriority w:val="0"/>
    <w:pPr>
      <w:tabs>
        <w:tab w:val="left" w:pos="312"/>
      </w:tabs>
      <w:spacing w:before="280" w:after="290" w:line="377" w:lineRule="auto"/>
      <w:outlineLvl w:val="3"/>
    </w:pPr>
    <w:rPr>
      <w:rFonts w:ascii="Times New Roman" w:hAnsi="Times New Roman" w:eastAsia="楷体" w:cstheme="majorBidi"/>
      <w:bCs/>
      <w:sz w:val="32"/>
      <w:szCs w:val="28"/>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20" w:afterLines="0" w:afterAutospacing="0"/>
    </w:pPr>
    <w:rPr>
      <w:rFonts w:eastAsia="宋体"/>
      <w:sz w:val="24"/>
    </w:rPr>
  </w:style>
  <w:style w:type="paragraph" w:styleId="7">
    <w:name w:val="Body Text Indent"/>
    <w:basedOn w:val="1"/>
    <w:qFormat/>
    <w:uiPriority w:val="0"/>
    <w:pPr>
      <w:spacing w:after="120" w:afterLines="0" w:afterAutospacing="0"/>
      <w:ind w:left="420" w:leftChars="200"/>
    </w:pPr>
  </w:style>
  <w:style w:type="paragraph" w:styleId="8">
    <w:name w:val="footnote text"/>
    <w:basedOn w:val="1"/>
    <w:link w:val="14"/>
    <w:qFormat/>
    <w:uiPriority w:val="0"/>
    <w:pPr>
      <w:snapToGrid w:val="0"/>
    </w:pPr>
    <w:rPr>
      <w:rFonts w:eastAsia="宋体"/>
      <w:sz w:val="18"/>
      <w:szCs w:val="18"/>
    </w:rPr>
  </w:style>
  <w:style w:type="paragraph" w:styleId="9">
    <w:name w:val="Body Text First Indent 2"/>
    <w:basedOn w:val="7"/>
    <w:qFormat/>
    <w:uiPriority w:val="0"/>
    <w:pPr>
      <w:ind w:firstLine="420" w:firstLineChars="200"/>
    </w:pPr>
  </w:style>
  <w:style w:type="character" w:customStyle="1" w:styleId="12">
    <w:name w:val="标题 1 字符"/>
    <w:basedOn w:val="11"/>
    <w:link w:val="2"/>
    <w:qFormat/>
    <w:uiPriority w:val="9"/>
    <w:rPr>
      <w:rFonts w:ascii="宋体" w:hAnsi="宋体" w:eastAsia="黑体" w:cs="宋体"/>
      <w:bCs/>
      <w:kern w:val="36"/>
      <w:sz w:val="32"/>
      <w:szCs w:val="48"/>
    </w:rPr>
  </w:style>
  <w:style w:type="character" w:customStyle="1" w:styleId="13">
    <w:name w:val="标题 2 字符"/>
    <w:basedOn w:val="11"/>
    <w:link w:val="3"/>
    <w:qFormat/>
    <w:uiPriority w:val="9"/>
    <w:rPr>
      <w:rFonts w:eastAsia="仿宋_GB2312" w:asciiTheme="majorAscii" w:hAnsiTheme="majorAscii" w:cstheme="majorBidi"/>
      <w:b/>
      <w:bCs/>
      <w:sz w:val="32"/>
      <w:szCs w:val="32"/>
    </w:rPr>
  </w:style>
  <w:style w:type="character" w:customStyle="1" w:styleId="14">
    <w:name w:val="脚注文本 字符"/>
    <w:basedOn w:val="11"/>
    <w:link w:val="8"/>
    <w:semiHidden/>
    <w:qFormat/>
    <w:uiPriority w:val="99"/>
    <w:rPr>
      <w:rFonts w:eastAsia="宋体"/>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2023-11-03T06:26:00Z</dcterms:created>
  <dc:creator>熊嘉慧</dc:creator>
  <cp:lastModifiedBy>堵泽西</cp:lastModifiedBy>
  <dcterms:modified xsi:type="dcterms:W3CDTF">2023-11-14T06:26:09Z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90BC50E3C72841B187FB8BC411DB2D39_13</vt:lpwstr>
  </property>
</Properties>
</file>