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440001-2023-38511</w:t>
      </w:r>
    </w:p>
    <w:p>
      <w:pPr>
        <w:jc w:val="center"/>
      </w:pPr>
      <w:r>
        <w:rPr>
          <w:b/>
          <w:sz w:val="24"/>
        </w:rPr>
        <w:t>采购项目编号：</w:t>
      </w:r>
      <w:r>
        <w:rPr>
          <w:b/>
          <w:sz w:val="24"/>
        </w:rPr>
        <w:t>HYGZ23XZ01C0399</w:t>
      </w:r>
    </w:p>
    <w:p>
      <w:pPr>
        <w:jc w:val="center"/>
      </w:pPr>
      <w:r>
        <w:rPr>
          <w:b/>
          <w:sz w:val="24"/>
        </w:rPr>
        <w:t>项目名称：</w:t>
      </w:r>
      <w:r>
        <w:rPr>
          <w:b/>
          <w:sz w:val="24"/>
        </w:rPr>
        <w:t>广东标准国际标准化专题研究项目</w:t>
      </w:r>
    </w:p>
    <w:p>
      <w:pPr>
        <w:jc w:val="center"/>
      </w:pPr>
      <w:r>
        <w:rPr>
          <w:b/>
          <w:sz w:val="24"/>
        </w:rPr>
        <w:t>采购人：</w:t>
      </w:r>
      <w:r>
        <w:rPr>
          <w:b/>
          <w:sz w:val="24"/>
        </w:rPr>
        <w:t>广东省市场监督管理局</w:t>
      </w:r>
    </w:p>
    <w:p>
      <w:pPr>
        <w:jc w:val="center"/>
      </w:pPr>
      <w:r>
        <w:rPr>
          <w:b/>
          <w:sz w:val="24"/>
        </w:rPr>
        <w:t>采购代理机构：</w:t>
      </w:r>
      <w:r>
        <w:rPr>
          <w:b/>
          <w:sz w:val="24"/>
        </w:rPr>
        <w:t>广东弘烨项目管理有限公司</w:t>
      </w:r>
    </w:p>
    <w:p>
      <w:pPr>
        <w:ind w:firstLine="480"/>
      </w:pPr>
    </w:p>
    <w:p>
      <w:r>
        <w:rPr/>
        <w:t xml:space="preserve"> </w:t>
      </w:r>
    </w:p>
    <w:p/>
    <w:p>
      <w:pPr>
        <w:jc w:val="center"/>
      </w:pPr>
      <w:r>
        <w:rPr>
          <w:b/>
          <w:sz w:val="36"/>
        </w:rPr>
        <w:t>第一章投标邀请</w:t>
      </w:r>
    </w:p>
    <w:p>
      <w:pPr>
        <w:ind w:firstLine="480"/>
      </w:pPr>
      <w:r>
        <w:rPr/>
        <w:t>广东弘烨项目管理有限公司</w:t>
      </w:r>
      <w:r>
        <w:rPr/>
        <w:t>受</w:t>
      </w:r>
      <w:r>
        <w:rPr/>
        <w:t>广东省市场监督管理局</w:t>
      </w:r>
      <w:r>
        <w:rPr/>
        <w:t>的委托，采用</w:t>
      </w:r>
      <w:r>
        <w:rPr/>
        <w:t>公开招标</w:t>
      </w:r>
      <w:r>
        <w:rPr/>
        <w:t>方式组织采购</w:t>
      </w:r>
      <w:r>
        <w:rPr/>
        <w:t>广东标准国际标准化专题研究项目</w:t>
      </w:r>
      <w:r>
        <w:rPr/>
        <w:t>。欢迎符合资格条件的国内供应商参加投标。</w:t>
      </w:r>
    </w:p>
    <w:p>
      <w:r>
        <w:rPr>
          <w:b/>
          <w:sz w:val="28"/>
        </w:rPr>
        <w:t>一.项目概述</w:t>
      </w:r>
    </w:p>
    <w:p>
      <w:r>
        <w:rPr>
          <w:b/>
          <w:sz w:val="24"/>
        </w:rPr>
        <w:t>1.名称与编号</w:t>
      </w:r>
    </w:p>
    <w:p>
      <w:pPr>
        <w:ind w:firstLine="480"/>
      </w:pPr>
      <w:r>
        <w:rPr/>
        <w:t>项目名称：</w:t>
      </w:r>
      <w:r>
        <w:rPr/>
        <w:t>广东标准国际标准化专题研究项目</w:t>
      </w:r>
    </w:p>
    <w:p>
      <w:pPr>
        <w:ind w:firstLine="480"/>
      </w:pPr>
      <w:r>
        <w:rPr/>
        <w:t>采购计划编号：</w:t>
      </w:r>
      <w:r>
        <w:rPr/>
        <w:t>440001-2023-38511</w:t>
      </w:r>
    </w:p>
    <w:p>
      <w:pPr>
        <w:ind w:firstLine="480"/>
      </w:pPr>
      <w:r>
        <w:rPr/>
        <w:t>采购项目编号：</w:t>
      </w:r>
      <w:r>
        <w:rPr/>
        <w:t>HYGZ23XZ01C0399</w:t>
      </w:r>
    </w:p>
    <w:p>
      <w:pPr>
        <w:ind w:firstLine="480"/>
      </w:pPr>
      <w:r>
        <w:rPr/>
        <w:t>采购方式：</w:t>
      </w:r>
      <w:r>
        <w:rPr/>
        <w:t>公开招标</w:t>
      </w:r>
    </w:p>
    <w:p>
      <w:pPr>
        <w:ind w:firstLine="480"/>
      </w:pPr>
      <w:r>
        <w:rPr/>
        <w:t>预算金额：</w:t>
      </w:r>
      <w:r>
        <w:rPr/>
        <w:t>600,000.00</w:t>
      </w:r>
      <w:r>
        <w:rPr/>
        <w:t>元</w:t>
      </w:r>
    </w:p>
    <w:p>
      <w:r>
        <w:rPr>
          <w:b/>
          <w:sz w:val="24"/>
        </w:rPr>
        <w:t>2.项目内容及需求情况（采购项目技术规格、参数及要求）</w:t>
      </w:r>
    </w:p>
    <w:p>
      <w:pPr>
        <w:ind w:firstLine="480"/>
      </w:pPr>
    </w:p>
    <w:p/>
    <w:p>
      <w:r>
        <w:rPr/>
        <w:t>采购包1(“推进标准制度型开放研究”项目服务):</w:t>
      </w:r>
    </w:p>
    <w:p>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社会与管理咨询服务</w:t>
            </w:r>
          </w:p>
        </w:tc>
        <w:tc>
          <w:tcPr>
            <w:tcW w:type="dxa" w:w="2136"/>
          </w:tcPr>
          <w:p>
            <w:r>
              <w:rPr/>
              <w:t>“推进标准制度型开放研究”项目服务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合同履行期限：自合同签订之日起3个月。</w:t>
      </w:r>
    </w:p>
    <w:p/>
    <w:p>
      <w:r>
        <w:rPr/>
        <w:t>采购包2(广东省国际标准化现状及措施建议研究):</w:t>
      </w:r>
    </w:p>
    <w:p>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社会与管理咨询服务</w:t>
            </w:r>
          </w:p>
        </w:tc>
        <w:tc>
          <w:tcPr>
            <w:tcW w:type="dxa" w:w="2136"/>
          </w:tcPr>
          <w:p>
            <w:r>
              <w:rPr/>
              <w:t>广东省国际标准化现状及措施建议研究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合同履行期限：自合同签订之日起3个月。</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2）有依法缴纳税收和社会保障资金的良好记录：提供书面声明</w:t>
      </w:r>
    </w:p>
    <w:p/>
    <w:p>
      <w:r>
        <w:rPr/>
        <w:t>3）具有良好的商业信誉和健全的财务会计制度：提供书面声明</w:t>
      </w:r>
    </w:p>
    <w:p/>
    <w:p>
      <w:r>
        <w:rPr/>
        <w:t>4）履行合同所必需的设备和专业技术能力：提供书面声明</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采购包1（“推进标准制度型开放研究”项目服务）：</w:t>
      </w:r>
      <w:r>
        <w:rPr/>
        <w:t>本项目不属于专门面向中小企业采购</w:t>
      </w:r>
    </w:p>
    <w:p>
      <w:pPr>
        <w:jc w:val="left"/>
      </w:pPr>
    </w:p>
    <w:p>
      <w:r>
        <w:rPr/>
        <w:t>采购包2（广东省国际标准化现状及措施建议研究）：</w:t>
      </w:r>
      <w:r>
        <w:rPr/>
        <w:t>本项目不属于专门面向中小企业采购</w:t>
      </w:r>
    </w:p>
    <w:p/>
    <w:p>
      <w:r>
        <w:rPr>
          <w:b/>
          <w:sz w:val="24"/>
        </w:rPr>
        <w:t>3.本项目特定的资格要求：</w:t>
      </w:r>
    </w:p>
    <w:p>
      <w:pPr>
        <w:ind w:firstLine="480"/>
      </w:pPr>
    </w:p>
    <w:p/>
    <w:p>
      <w:r>
        <w:rPr/>
        <w:t>采购包1（“推进标准制度型开放研究”项目服务）：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采购包2（广东省国际标准化现状及措施建议研究）：</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广东省市场监督管理局</w:t>
      </w:r>
    </w:p>
    <w:p>
      <w:pPr>
        <w:ind w:firstLine="480"/>
      </w:pPr>
      <w:r>
        <w:rPr/>
        <w:t>地址：</w:t>
      </w:r>
      <w:r>
        <w:rPr/>
        <w:t>广州市天河区黄埔大道西363号</w:t>
      </w:r>
    </w:p>
    <w:p>
      <w:pPr>
        <w:ind w:firstLine="480"/>
      </w:pPr>
      <w:r>
        <w:rPr/>
        <w:t>联系方式：</w:t>
      </w:r>
      <w:r>
        <w:rPr/>
        <w:t>020-38835455</w:t>
      </w:r>
    </w:p>
    <w:p>
      <w:r>
        <w:rPr>
          <w:b/>
          <w:sz w:val="24"/>
        </w:rPr>
        <w:t>2.采购代理机构信息</w:t>
      </w:r>
    </w:p>
    <w:p>
      <w:pPr>
        <w:ind w:firstLine="480"/>
      </w:pPr>
      <w:r>
        <w:rPr/>
        <w:t>名称：</w:t>
      </w:r>
      <w:r>
        <w:rPr/>
        <w:t>广东弘烨项目管理有限公司</w:t>
      </w:r>
    </w:p>
    <w:p>
      <w:pPr>
        <w:ind w:firstLine="480"/>
      </w:pPr>
      <w:r>
        <w:rPr/>
        <w:t>地址：</w:t>
      </w:r>
      <w:r>
        <w:rPr/>
        <w:t>广州市越秀区东风中路501-507号东建大厦东部14楼南侧1401-1406房</w:t>
      </w:r>
    </w:p>
    <w:p>
      <w:pPr>
        <w:ind w:firstLine="480"/>
      </w:pPr>
      <w:r>
        <w:rPr/>
        <w:t>联系方式：</w:t>
      </w:r>
      <w:r>
        <w:rPr/>
        <w:t>020-83526065</w:t>
      </w:r>
    </w:p>
    <w:p>
      <w:r>
        <w:rPr>
          <w:b/>
          <w:sz w:val="24"/>
        </w:rPr>
        <w:t>3.项目联系方式</w:t>
      </w:r>
    </w:p>
    <w:p>
      <w:pPr>
        <w:ind w:firstLine="480"/>
      </w:pPr>
      <w:r>
        <w:rPr/>
        <w:t>项目联系人：</w:t>
      </w:r>
      <w:r>
        <w:rPr/>
        <w:t>张先生</w:t>
      </w:r>
    </w:p>
    <w:p>
      <w:pPr>
        <w:ind w:firstLine="480"/>
      </w:pPr>
      <w:r>
        <w:rPr/>
        <w:t>电话：</w:t>
      </w:r>
      <w:r>
        <w:rPr/>
        <w:t>020-83526065</w:t>
      </w:r>
    </w:p>
    <w:p>
      <w:r>
        <w:rPr>
          <w:b/>
          <w:sz w:val="24"/>
        </w:rPr>
        <w:t>4.技术支持联系方式</w:t>
      </w:r>
    </w:p>
    <w:p>
      <w:pPr>
        <w:ind w:firstLine="480"/>
      </w:pPr>
      <w:r>
        <w:rPr/>
        <w:t>云平台联系方式：020-88696588</w:t>
      </w:r>
    </w:p>
    <w:p>
      <w:r>
        <w:rPr/>
        <w:t>采购代理机构：</w:t>
      </w:r>
      <w:r>
        <w:rPr/>
        <w:t>广东弘烨项目管理有限公司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2"/>
        <w:jc w:val="both"/>
      </w:pPr>
      <w:r>
        <w:rPr>
          <w:b/>
          <w:sz w:val="24"/>
        </w:rPr>
        <w:t>采购包</w:t>
      </w:r>
      <w:r>
        <w:rPr>
          <w:b/>
          <w:sz w:val="24"/>
        </w:rPr>
        <w:t>1：</w:t>
      </w:r>
      <w:r>
        <w:rPr>
          <w:sz w:val="24"/>
        </w:rPr>
        <w:t>为进一步贯彻《粤港澳大湾区发展规划纲要》和《国家标准化发展纲要》，按照《促进粤港澳大湾区标准发展指南（试行）》确立的</w:t>
      </w:r>
      <w:r>
        <w:rPr>
          <w:sz w:val="24"/>
        </w:rPr>
        <w:t>“市场驱动、政府引导、国际接轨、互利共赢”原则，加快粤港澳三地规则衔接，促进湾区要素有序流动，深入推进制度型开放，广东省市场监督管理局实施“国际标准跃升工程”，开展“广东标准国际标准化专题研究”，实施“推进标准制度型开放研究”。参与投标单位应根据采购人具体要求，开展调研活动并及时记录，并按要求撰写报告。</w:t>
      </w:r>
    </w:p>
    <w:p>
      <w:pPr>
        <w:ind w:firstLine="482"/>
        <w:jc w:val="both"/>
      </w:pPr>
      <w:r>
        <w:rPr>
          <w:b/>
          <w:sz w:val="24"/>
        </w:rPr>
        <w:t>采购包</w:t>
      </w:r>
      <w:r>
        <w:rPr>
          <w:b/>
          <w:sz w:val="24"/>
        </w:rPr>
        <w:t>2：</w:t>
      </w:r>
      <w:r>
        <w:rPr>
          <w:sz w:val="24"/>
        </w:rPr>
        <w:t>本采购包主要通过收集广东省国际标准化相关政策文献、调研摸底广东省主要区域和重点产业国际标准化现状、分析广东省国际标准化工作路径，研究广东省国际标准化政策体系情况、工作开展情况、相关国际组织情况、影响国际标准化工作的主要因素、国际标准化相关资源配备情况及面临的主要问题等，对广东省国际标准化现状进行客观研究和分析，提出针对区域、产业的措施建议，形成《广东省国际标准化现状研究报告》，进一步推进广东省国际标准化工作。</w:t>
      </w:r>
    </w:p>
    <w:p/>
    <w:p>
      <w:pPr>
        <w:ind w:firstLine="480"/>
      </w:pPr>
    </w:p>
    <w:p/>
    <w:p>
      <w:r>
        <w:rPr/>
        <w:t>采购包1（“推进标准制度型开放研究”项目服务）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自合同签订之日起3个月。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1期：支付比例40%,1期：支付合同总额的40%,签订合同后20个工作日内，由中标供应商开具真实、合法、有效的发票，采购人向中标供应商支付合同总额40%。</w:t>
            </w:r>
          </w:p>
          <w:p/>
          <w:p>
            <w:r>
              <w:rPr/>
              <w:t>2期：支付比例40%,2期：支付合同总额的40%,在项目提交中期报告后20个工作日内，采购人在收到发票后支付合同总额40%；</w:t>
            </w:r>
          </w:p>
          <w:p/>
          <w:p>
            <w:r>
              <w:rPr/>
              <w:t>3期：支付比例20%,3期：支付合同总额的20%,在项目成果通过验收后20个工作日内，采购人在收到发票后支付合同总额的20%。 1.每笔款项支付前，中标供应商须提交与每笔款项金额相等的正式发票。 2.支付方式：采用支票、银行汇付（含电汇）等形式。</w:t>
            </w:r>
          </w:p>
        </w:tc>
      </w:tr>
      <w:tr>
        <w:tc>
          <w:tcPr>
            <w:tcW w:type="dxa" w:w="4153"/>
          </w:tcPr>
          <w:p>
            <w:r>
              <w:rPr/>
              <w:t>验收要求</w:t>
            </w:r>
          </w:p>
        </w:tc>
        <w:tc>
          <w:tcPr>
            <w:tcW w:type="dxa" w:w="4153"/>
          </w:tcPr>
          <w:p/>
          <w:p/>
          <w:p/>
          <w:p>
            <w:r>
              <w:rPr/>
              <w:t>1期：1、验收组织成立：由采购人以及其他有关人员组成的验收小组，负责对项目进行全面验收。 2、项目验收：采购人通知中标供应商验收事宜。 3、验收标准：完成采购人与中标供应商合同要求的所有内容。若验收结果为不合格，采购人有权暂不签署验收文档，中标供应商应按照验收标准进行弥补、改进或完善。 4、验收时间：本项目完成后由采购人组织验收。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社会与管理咨询服务</w:t>
            </w:r>
          </w:p>
        </w:tc>
        <w:tc>
          <w:tcPr>
            <w:tcW w:type="dxa" w:w="933"/>
          </w:tcPr>
          <w:p>
            <w:pPr>
              <w:jc w:val="left"/>
            </w:pPr>
            <w:r>
              <w:rPr/>
              <w:t>“推进标准制度型开放研究”项目服务</w:t>
            </w:r>
          </w:p>
        </w:tc>
        <w:tc>
          <w:tcPr>
            <w:tcW w:type="dxa" w:w="933"/>
          </w:tcPr>
          <w:p>
            <w:pPr>
              <w:jc w:val="left"/>
            </w:pPr>
            <w:r>
              <w:rPr/>
              <w:t>项</w:t>
            </w:r>
          </w:p>
        </w:tc>
        <w:tc>
          <w:tcPr>
            <w:tcW w:type="dxa" w:w="933"/>
          </w:tcPr>
          <w:p>
            <w:pPr>
              <w:jc w:val="right"/>
            </w:pPr>
            <w:r>
              <w:rPr/>
              <w:t>1.00</w:t>
            </w:r>
          </w:p>
        </w:tc>
        <w:tc>
          <w:tcPr>
            <w:tcW w:type="dxa" w:w="933"/>
          </w:tcPr>
          <w:p>
            <w:pPr>
              <w:jc w:val="right"/>
            </w:pPr>
            <w:r>
              <w:rPr/>
              <w:t>300,000.00</w:t>
            </w:r>
          </w:p>
        </w:tc>
        <w:tc>
          <w:tcPr>
            <w:tcW w:type="dxa" w:w="933"/>
          </w:tcPr>
          <w:p>
            <w:pPr>
              <w:jc w:val="right"/>
            </w:pPr>
            <w:r>
              <w:rPr/>
              <w:t>300,000.00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“推进标准制度型开放研究”项目服务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一、项目工作内容</w:t>
            </w:r>
          </w:p>
          <w:p>
            <w:pPr>
              <w:jc w:val="both"/>
            </w:pPr>
            <w:r>
              <w:rPr>
                <w:sz w:val="24"/>
              </w:rPr>
              <w:t>1.粤港澳大湾区标准化协同发展现状分析；</w:t>
            </w:r>
          </w:p>
          <w:p>
            <w:pPr>
              <w:jc w:val="both"/>
            </w:pPr>
            <w:r>
              <w:rPr>
                <w:sz w:val="24"/>
              </w:rPr>
              <w:t>2.粤港澳大湾区标准体系与国际标准体系对比研究；</w:t>
            </w:r>
          </w:p>
          <w:p>
            <w:pPr>
              <w:jc w:val="both"/>
            </w:pPr>
            <w:r>
              <w:rPr>
                <w:sz w:val="24"/>
              </w:rPr>
              <w:t>3.“湾区标准”与我国“一带一路”倡议、RCEP，以及CPTPP等更高水平国际协定具体衔接的必要性与可行性分析；</w:t>
            </w:r>
          </w:p>
          <w:p>
            <w:pPr>
              <w:jc w:val="left"/>
            </w:pPr>
            <w:r>
              <w:rPr>
                <w:sz w:val="24"/>
              </w:rPr>
              <w:t>4.“湾区标准”对推进“制度型开放”的示范意义。</w:t>
            </w:r>
          </w:p>
          <w:p>
            <w:pPr>
              <w:jc w:val="left"/>
            </w:pPr>
            <w:r>
              <w:rPr>
                <w:b/>
                <w:sz w:val="24"/>
              </w:rPr>
              <w:t>二、项目成果要求</w:t>
            </w:r>
          </w:p>
          <w:p>
            <w:pPr>
              <w:jc w:val="both"/>
            </w:pPr>
            <w:r>
              <w:rPr>
                <w:sz w:val="24"/>
              </w:rPr>
              <w:t>1.以“推进标准制度型开放”为主题，完成综合性研究报告1份</w:t>
            </w:r>
            <w:r>
              <w:rPr>
                <w:sz w:val="24"/>
              </w:rPr>
              <w:t>、课题成果要点报告</w:t>
            </w:r>
            <w:r>
              <w:rPr>
                <w:sz w:val="24"/>
              </w:rPr>
              <w:t>1份（6000字左右）</w:t>
            </w:r>
            <w:r>
              <w:rPr>
                <w:sz w:val="24"/>
              </w:rPr>
              <w:t>；</w:t>
            </w:r>
          </w:p>
          <w:p>
            <w:pPr>
              <w:jc w:val="both"/>
            </w:pPr>
            <w:r>
              <w:rPr>
                <w:sz w:val="24"/>
              </w:rPr>
              <w:t>2.提交政策建议1份；</w:t>
            </w:r>
          </w:p>
          <w:p>
            <w:pPr>
              <w:jc w:val="both"/>
            </w:pPr>
            <w:r>
              <w:rPr>
                <w:sz w:val="24"/>
              </w:rPr>
              <w:t>3.提交调研记录3份。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采购包2（广东省国际标准化现状及措施建议研究）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自合同签订之日起3个月。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1期：支付比例40%,1期：支付比例40%,签订合同后20个工作日内，由中标供应商开具真实、合法、有效的发票，采购人向中标供应商按合同总额的40%支付。</w:t>
            </w:r>
          </w:p>
          <w:p/>
          <w:p>
            <w:r>
              <w:rPr/>
              <w:t>2期：支付比例40%,2期：支付比例40%,在项目提交中期报告后20个工作日内，采购人在收到发票后按合同总额40%支付；</w:t>
            </w:r>
          </w:p>
          <w:p/>
          <w:p>
            <w:r>
              <w:rPr/>
              <w:t>3期：支付比例20%,3期：支付比例20%,在项目成果通过验收后20个工作日内，采购人在收到发票后按合同总额20%支付余款。 1.每笔款项支付前，中标供应商须提交与每笔款项金额相等的正式发票。 2.支付方式：采用支票、银行汇付（含电汇）等形式。</w:t>
            </w:r>
          </w:p>
        </w:tc>
      </w:tr>
      <w:tr>
        <w:tc>
          <w:tcPr>
            <w:tcW w:type="dxa" w:w="4153"/>
          </w:tcPr>
          <w:p>
            <w:r>
              <w:rPr/>
              <w:t>验收要求</w:t>
            </w:r>
          </w:p>
        </w:tc>
        <w:tc>
          <w:tcPr>
            <w:tcW w:type="dxa" w:w="4153"/>
          </w:tcPr>
          <w:p/>
          <w:p/>
          <w:p/>
          <w:p>
            <w:r>
              <w:rPr/>
              <w:t>1期：1、验收组织成立：由采购人以及其他有关人员组成的验收小组，负责对项目进行全面验收。 2、项目验收：采购人通知中标供应商验收事宜。 3、验收标准：完成采购人与中标供应商合同要求的所有内容。若验收结果为不合格，采购人有权暂不签署验收文档，中标供应商应按照验收标准进行弥补、改进或完善。 4、验收时间：本项目完成后由采购人组织验收。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社会与管理咨询服务</w:t>
            </w:r>
          </w:p>
        </w:tc>
        <w:tc>
          <w:tcPr>
            <w:tcW w:type="dxa" w:w="933"/>
          </w:tcPr>
          <w:p>
            <w:pPr>
              <w:jc w:val="left"/>
            </w:pPr>
            <w:r>
              <w:rPr/>
              <w:t>广东省国际标准化现状及措施建议研究</w:t>
            </w:r>
          </w:p>
        </w:tc>
        <w:tc>
          <w:tcPr>
            <w:tcW w:type="dxa" w:w="933"/>
          </w:tcPr>
          <w:p>
            <w:pPr>
              <w:jc w:val="left"/>
            </w:pPr>
            <w:r>
              <w:rPr/>
              <w:t>项</w:t>
            </w:r>
          </w:p>
        </w:tc>
        <w:tc>
          <w:tcPr>
            <w:tcW w:type="dxa" w:w="933"/>
          </w:tcPr>
          <w:p>
            <w:pPr>
              <w:jc w:val="right"/>
            </w:pPr>
            <w:r>
              <w:rPr/>
              <w:t>1.00</w:t>
            </w:r>
          </w:p>
        </w:tc>
        <w:tc>
          <w:tcPr>
            <w:tcW w:type="dxa" w:w="933"/>
          </w:tcPr>
          <w:p>
            <w:pPr>
              <w:jc w:val="right"/>
            </w:pPr>
            <w:r>
              <w:rPr/>
              <w:t>300,000.00</w:t>
            </w:r>
          </w:p>
        </w:tc>
        <w:tc>
          <w:tcPr>
            <w:tcW w:type="dxa" w:w="933"/>
          </w:tcPr>
          <w:p>
            <w:pPr>
              <w:jc w:val="right"/>
            </w:pPr>
            <w:r>
              <w:rPr/>
              <w:t>300,000.00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广东省国际标准化现状及措施建议研究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t>一、工作内容：</w:t>
            </w:r>
            <w:r>
              <w:br/>
            </w:r>
            <w:r>
              <w:rPr/>
              <w:t>1.收集省内国际标准化政策文献、研究省内相关政策体系及工作开展情况现状及分析；</w:t>
            </w:r>
            <w:r>
              <w:br/>
            </w:r>
            <w:r>
              <w:rPr/>
              <w:t>2.省内国际标准化现状及分析；</w:t>
            </w:r>
            <w:r>
              <w:br/>
            </w:r>
            <w:r>
              <w:rPr/>
              <w:t>3.针对省内重要区域和重点产业国际标准化现状及分析；</w:t>
            </w:r>
            <w:r>
              <w:br/>
            </w:r>
            <w:r>
              <w:rPr/>
              <w:t>4.提出针对区域、产业的措施建议，阐述意义。</w:t>
            </w:r>
            <w:r>
              <w:br/>
            </w:r>
            <w:r>
              <w:rPr/>
              <w:t>二、项目成果要求：</w:t>
            </w:r>
            <w:r>
              <w:br/>
            </w:r>
            <w:r>
              <w:rPr/>
              <w:t>1.《广东省国际标准化现状研究报告》1份、课题成果要点报告1份（6000字左右）；</w:t>
            </w:r>
            <w:r>
              <w:br/>
            </w:r>
            <w:r>
              <w:rPr/>
              <w:t>针对广东省国际标准化现状的措施建议。</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1.采购代理机构：本项目是指广东弘烨项目管理有限公司，负责整个采购活动的组织，依法负责编制和发布招标文件，对招标文件拥有最终的解释权，不以任何身份出任评标委员会成员。</w:t>
      </w:r>
    </w:p>
    <w:p>
      <w:pPr>
        <w:ind w:firstLine="480"/>
      </w:pPr>
      <w:r>
        <w:rPr/>
        <w:t>2.采购人：本项目是指</w:t>
      </w:r>
      <w:r>
        <w:rPr/>
        <w:t>广东省市场监督管理局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采购包1：保证金人民币：6,000.00元整。</w:t>
            </w:r>
            <w:r>
              <w:rPr/>
              <w:t>采购包2：保证金人民币：6,000.00元整。</w:t>
            </w:r>
          </w:p>
          <w:p>
            <w:r>
              <w:rPr/>
              <w:t>开户单位：</w:t>
            </w:r>
            <w:r>
              <w:rPr/>
              <w:t>广东弘烨项目管理有限公司</w:t>
            </w:r>
          </w:p>
          <w:p>
            <w:r>
              <w:rPr/>
              <w:t>开户账号：</w:t>
            </w:r>
            <w:r>
              <w:rPr/>
              <w:t>9550880231778400193</w:t>
            </w:r>
          </w:p>
          <w:p>
            <w:r>
              <w:rPr/>
              <w:t>开户银行：</w:t>
            </w:r>
            <w:r>
              <w:rPr/>
              <w:t>广发银行股份有限公司广州东站支行</w:t>
            </w:r>
          </w:p>
          <w:p>
            <w:r>
              <w:rPr/>
              <w:t>支票提交方式：</w:t>
            </w:r>
            <w:r>
              <w:rPr/>
              <w:t>线下</w:t>
            </w:r>
          </w:p>
          <w:p>
            <w:r>
              <w:rPr/>
              <w:t>汇票、本票提交方式：</w:t>
            </w:r>
            <w:r>
              <w:rPr/>
              <w:t>线下</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的招标代理服务费收费标准以各采购包的预算金额为计算基数，参照国家计委颁布的（计价格【2002】1980号）、国家发改委颁布的（发改办价格【2003】857号）以及国家发改委颁布的（发改价格[2011]534号文）计收。计算额不足7000元，按7000元计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响应文件快递注意事项：，（1）纸质投标/响应文件及非加密电子版投标/响应文件U盘可快递或现场送达。快递过程中如出现损坏或丢失或无法在截止时间前送达开标地点的，采购代理机构概不负责，建议提前一个工作日送达。（2）投标/响应文件寄出后，须按格式准确填写后发送至采购代理机构邮箱（E－mail：guangdonghy@163.com），邮件标题及正文：项目编号后四位+单位名称+快递投标/响应文件（正文格式内容包括：项目名称、项目编号、采购包号、供应商名称、联系人、联系电话、物流公司名称、物流单号）+寄出日期，快递封面贴上投标/响应文件封面内容。</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；请各投标人在投标文件递交截止时间前按须知前附表规定的金额递交至</w:t>
      </w:r>
      <w:r>
        <w:rPr/>
        <w:t>广东弘烨项目管理有限公司</w:t>
      </w:r>
      <w:r>
        <w:rPr/>
        <w:t>，到账情况以开标时</w:t>
      </w:r>
      <w:r>
        <w:rPr/>
        <w:t>广东弘烨项目管理有限公司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张先生</w:t>
      </w:r>
    </w:p>
    <w:p>
      <w:pPr>
        <w:ind w:firstLine="480"/>
      </w:pPr>
      <w:r>
        <w:rPr/>
        <w:t>电话：</w:t>
      </w:r>
      <w:r>
        <w:rPr/>
        <w:t>020-83526065</w:t>
      </w:r>
    </w:p>
    <w:p>
      <w:pPr>
        <w:ind w:firstLine="480"/>
      </w:pPr>
      <w:r>
        <w:rPr/>
        <w:t>传真：</w:t>
      </w:r>
      <w:r>
        <w:rPr/>
        <w:t>020-83526065</w:t>
      </w:r>
    </w:p>
    <w:p>
      <w:pPr>
        <w:ind w:firstLine="480"/>
      </w:pPr>
      <w:r>
        <w:rPr/>
        <w:t>邮箱：</w:t>
      </w:r>
      <w:r>
        <w:rPr/>
        <w:t>guangdonghy@163.com</w:t>
      </w:r>
    </w:p>
    <w:p>
      <w:pPr>
        <w:ind w:firstLine="480"/>
      </w:pPr>
      <w:r>
        <w:rPr/>
        <w:t>地址：</w:t>
      </w:r>
      <w:r>
        <w:rPr/>
        <w:t>广州市越秀区东风中路501-507号东建大厦东部14楼南侧1401-1406房</w:t>
      </w:r>
    </w:p>
    <w:p>
      <w:pPr>
        <w:ind w:firstLine="480"/>
      </w:pPr>
      <w:r>
        <w:rPr/>
        <w:t>邮编：</w:t>
      </w:r>
      <w:r>
        <w:rPr/>
        <w:t>510030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推进标准制度型开放研究”项目服务)：综合评分法,是指投标文件满足招标文件全部实质性要求，且按照评审因素的量化指标评审得分最高的投标人为中标候选人的评标方法。（最低报价不是中标的唯一依据。）</w:t>
      </w:r>
    </w:p>
    <w:p/>
    <w:p>
      <w:r>
        <w:rPr/>
        <w:t>采购包2(广东省国际标准化现状及措施建议研究)：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广东弘烨项目管理有限公司</w:t>
      </w:r>
      <w:r>
        <w:rPr/>
        <w:t>统一对外发布。</w:t>
      </w:r>
    </w:p>
    <w:p>
      <w:pPr>
        <w:ind w:firstLine="480"/>
      </w:pPr>
      <w:r>
        <w:rPr/>
        <w:t>（2）对</w:t>
      </w:r>
      <w:r>
        <w:rPr/>
        <w:t>广东弘烨项目管理有限公司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采购包1（“推进标准制度型开放研究”项目服务）：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采购包2（广东省国际标准化现状及措施建议研究）：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采购包1（“推进标准制度型开放研究”项目服务）：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提供书面声明</w:t>
            </w:r>
          </w:p>
        </w:tc>
      </w:tr>
      <w:tr>
        <w:tc>
          <w:tcPr>
            <w:tcW w:type="dxa" w:w="890"/>
          </w:tcPr>
          <w:p>
            <w:r>
              <w:rPr/>
              <w:t>3</w:t>
            </w:r>
          </w:p>
        </w:tc>
        <w:tc>
          <w:tcPr>
            <w:tcW w:type="dxa" w:w="3178"/>
          </w:tcPr>
          <w:p>
            <w:r>
              <w:rPr/>
              <w:t>具有良好的商业信誉和健全的财务会计制度</w:t>
            </w:r>
          </w:p>
        </w:tc>
        <w:tc>
          <w:tcPr>
            <w:tcW w:type="dxa" w:w="4238"/>
          </w:tcPr>
          <w:p>
            <w:r>
              <w:rPr/>
              <w:t>提供书面声明</w:t>
            </w:r>
          </w:p>
        </w:tc>
      </w:tr>
      <w:tr>
        <w:tc>
          <w:tcPr>
            <w:tcW w:type="dxa" w:w="890"/>
          </w:tcPr>
          <w:p>
            <w:r>
              <w:rPr/>
              <w:t>4</w:t>
            </w:r>
          </w:p>
        </w:tc>
        <w:tc>
          <w:tcPr>
            <w:tcW w:type="dxa" w:w="3178"/>
          </w:tcPr>
          <w:p>
            <w:r>
              <w:rPr/>
              <w:t>履行合同所必需的设备和专业技术能力</w:t>
            </w:r>
          </w:p>
        </w:tc>
        <w:tc>
          <w:tcPr>
            <w:tcW w:type="dxa" w:w="4238"/>
          </w:tcPr>
          <w:p>
            <w:r>
              <w:rPr/>
              <w:t>提供书面声明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采购包1（“推进标准制度型开放研究”项目服务）</w:t>
            </w:r>
          </w:p>
        </w:tc>
        <w:tc>
          <w:tcPr>
            <w:tcW w:type="dxa" w:w="4238"/>
          </w:tcPr>
          <w:p>
            <w:r>
              <w:rPr/>
              <w:t>本项目不属于专门面向中小企业采购</w:t>
            </w:r>
          </w:p>
        </w:tc>
      </w:tr>
    </w:tbl>
    <w:p/>
    <w:p>
      <w:r>
        <w:rPr/>
        <w:t>采购包2（广东省国际标准化现状及措施建议研究）：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提供书面声明</w:t>
            </w:r>
          </w:p>
        </w:tc>
      </w:tr>
      <w:tr>
        <w:tc>
          <w:tcPr>
            <w:tcW w:type="dxa" w:w="890"/>
          </w:tcPr>
          <w:p>
            <w:r>
              <w:rPr/>
              <w:t>3</w:t>
            </w:r>
          </w:p>
        </w:tc>
        <w:tc>
          <w:tcPr>
            <w:tcW w:type="dxa" w:w="3178"/>
          </w:tcPr>
          <w:p>
            <w:r>
              <w:rPr/>
              <w:t>具有良好的商业信誉和健全的财务会计制度</w:t>
            </w:r>
          </w:p>
        </w:tc>
        <w:tc>
          <w:tcPr>
            <w:tcW w:type="dxa" w:w="4238"/>
          </w:tcPr>
          <w:p>
            <w:r>
              <w:rPr/>
              <w:t>提供书面声明</w:t>
            </w:r>
          </w:p>
        </w:tc>
      </w:tr>
      <w:tr>
        <w:tc>
          <w:tcPr>
            <w:tcW w:type="dxa" w:w="890"/>
          </w:tcPr>
          <w:p>
            <w:r>
              <w:rPr/>
              <w:t>4</w:t>
            </w:r>
          </w:p>
        </w:tc>
        <w:tc>
          <w:tcPr>
            <w:tcW w:type="dxa" w:w="3178"/>
          </w:tcPr>
          <w:p>
            <w:r>
              <w:rPr/>
              <w:t>履行合同所必需的设备和专业技术能力</w:t>
            </w:r>
          </w:p>
        </w:tc>
        <w:tc>
          <w:tcPr>
            <w:tcW w:type="dxa" w:w="4238"/>
          </w:tcPr>
          <w:p>
            <w:r>
              <w:rPr/>
              <w:t>提供书面声明</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采购包2（广东省国际标准化现状及措施建议研究）</w:t>
            </w:r>
          </w:p>
        </w:tc>
        <w:tc>
          <w:tcPr>
            <w:tcW w:type="dxa" w:w="4238"/>
          </w:tcPr>
          <w:p>
            <w:r>
              <w:rPr/>
              <w:t>本项目不属于专门面向中小企业采购</w:t>
            </w:r>
          </w:p>
        </w:tc>
      </w:tr>
    </w:tbl>
    <w:p/>
    <w:p>
      <w:pPr>
        <w:ind w:firstLine="480"/>
      </w:pPr>
      <w:r>
        <w:rPr/>
        <w:t>表二符合性审查表：</w:t>
      </w:r>
    </w:p>
    <w:p>
      <w:pPr>
        <w:ind w:firstLine="480"/>
      </w:pPr>
    </w:p>
    <w:p/>
    <w:p>
      <w:r>
        <w:rPr/>
        <w:t>采购包1（“推进标准制度型开放研究”项目服务）：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按对应格式文件填写、签署、盖章。</w:t>
            </w:r>
          </w:p>
        </w:tc>
      </w:tr>
      <w:tr>
        <w:tc>
          <w:tcPr>
            <w:tcW w:type="dxa" w:w="890"/>
          </w:tcPr>
          <w:p>
            <w:r>
              <w:rPr/>
              <w:t>2</w:t>
            </w:r>
          </w:p>
        </w:tc>
        <w:tc>
          <w:tcPr>
            <w:tcW w:type="dxa" w:w="3178"/>
          </w:tcPr>
          <w:p>
            <w:r>
              <w:rPr/>
              <w:t>法定代表人证明书或授权委托书</w:t>
            </w:r>
          </w:p>
        </w:tc>
        <w:tc>
          <w:tcPr>
            <w:tcW w:type="dxa" w:w="4238"/>
          </w:tcPr>
          <w:p>
            <w:r>
              <w:rPr/>
              <w:t>按对应格式文件签署、盖章。</w:t>
            </w:r>
          </w:p>
        </w:tc>
      </w:tr>
      <w:tr>
        <w:tc>
          <w:tcPr>
            <w:tcW w:type="dxa" w:w="890"/>
          </w:tcPr>
          <w:p>
            <w:r>
              <w:rPr/>
              <w:t>3</w:t>
            </w:r>
          </w:p>
        </w:tc>
        <w:tc>
          <w:tcPr>
            <w:tcW w:type="dxa" w:w="3178"/>
          </w:tcPr>
          <w:p>
            <w:r>
              <w:rPr/>
              <w:t>报价要求</w:t>
            </w:r>
          </w:p>
        </w:tc>
        <w:tc>
          <w:tcPr>
            <w:tcW w:type="dxa" w:w="4238"/>
          </w:tcPr>
          <w:p>
            <w:r>
              <w:rPr/>
              <w:t>投标报价是固定价且是唯一的，投标总价未超出最高限价。</w:t>
            </w:r>
          </w:p>
        </w:tc>
      </w:tr>
      <w:tr>
        <w:tc>
          <w:tcPr>
            <w:tcW w:type="dxa" w:w="890"/>
          </w:tcPr>
          <w:p>
            <w:r>
              <w:rPr/>
              <w:t>4</w:t>
            </w:r>
          </w:p>
        </w:tc>
        <w:tc>
          <w:tcPr>
            <w:tcW w:type="dxa" w:w="3178"/>
          </w:tcPr>
          <w:p>
            <w:r>
              <w:rPr/>
              <w:t>采购代理服务费支付承诺书</w:t>
            </w:r>
          </w:p>
        </w:tc>
        <w:tc>
          <w:tcPr>
            <w:tcW w:type="dxa" w:w="4238"/>
          </w:tcPr>
          <w:p>
            <w:r>
              <w:rPr/>
              <w:t>已按招标文件要求提交采购代理服务费支付承诺书。</w:t>
            </w:r>
          </w:p>
        </w:tc>
      </w:tr>
      <w:tr>
        <w:tc>
          <w:tcPr>
            <w:tcW w:type="dxa" w:w="890"/>
          </w:tcPr>
          <w:p>
            <w:r>
              <w:rPr/>
              <w:t>5</w:t>
            </w:r>
          </w:p>
        </w:tc>
        <w:tc>
          <w:tcPr>
            <w:tcW w:type="dxa" w:w="3178"/>
          </w:tcPr>
          <w:p>
            <w:r>
              <w:rPr/>
              <w:t>供应商已递交投标保证金</w:t>
            </w:r>
          </w:p>
        </w:tc>
        <w:tc>
          <w:tcPr>
            <w:tcW w:type="dxa" w:w="4238"/>
          </w:tcPr>
          <w:p>
            <w:r>
              <w:rPr/>
              <w:t>提供银行转账凭证或担保函复印件或以采购代理机构财务系统信息为准。</w:t>
            </w:r>
          </w:p>
        </w:tc>
      </w:tr>
      <w:tr>
        <w:tc>
          <w:tcPr>
            <w:tcW w:type="dxa" w:w="890"/>
          </w:tcPr>
          <w:p>
            <w:r>
              <w:rPr/>
              <w:t>6</w:t>
            </w:r>
          </w:p>
        </w:tc>
        <w:tc>
          <w:tcPr>
            <w:tcW w:type="dxa" w:w="3178"/>
          </w:tcPr>
          <w:p>
            <w:r>
              <w:rPr/>
              <w:t>其他</w:t>
            </w:r>
          </w:p>
        </w:tc>
        <w:tc>
          <w:tcPr>
            <w:tcW w:type="dxa" w:w="4238"/>
          </w:tcPr>
          <w:p>
            <w:r>
              <w:rPr/>
              <w:t>法律、法规和招标文件规定的其他投标无效情形。</w:t>
            </w:r>
          </w:p>
        </w:tc>
      </w:tr>
    </w:tbl>
    <w:p/>
    <w:p>
      <w:r>
        <w:rPr/>
        <w:t>采购包2（广东省国际标准化现状及措施建议研究）：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按对应格式文件填写、签署、盖章。</w:t>
            </w:r>
          </w:p>
        </w:tc>
      </w:tr>
      <w:tr>
        <w:tc>
          <w:tcPr>
            <w:tcW w:type="dxa" w:w="890"/>
          </w:tcPr>
          <w:p>
            <w:r>
              <w:rPr/>
              <w:t>2</w:t>
            </w:r>
          </w:p>
        </w:tc>
        <w:tc>
          <w:tcPr>
            <w:tcW w:type="dxa" w:w="3178"/>
          </w:tcPr>
          <w:p>
            <w:r>
              <w:rPr/>
              <w:t>法定代表人证明书或授权委托书</w:t>
            </w:r>
          </w:p>
        </w:tc>
        <w:tc>
          <w:tcPr>
            <w:tcW w:type="dxa" w:w="4238"/>
          </w:tcPr>
          <w:p>
            <w:r>
              <w:rPr/>
              <w:t>按对应格式文件签署、盖章。</w:t>
            </w:r>
          </w:p>
        </w:tc>
      </w:tr>
      <w:tr>
        <w:tc>
          <w:tcPr>
            <w:tcW w:type="dxa" w:w="890"/>
          </w:tcPr>
          <w:p>
            <w:r>
              <w:rPr/>
              <w:t>3</w:t>
            </w:r>
          </w:p>
        </w:tc>
        <w:tc>
          <w:tcPr>
            <w:tcW w:type="dxa" w:w="3178"/>
          </w:tcPr>
          <w:p>
            <w:r>
              <w:rPr/>
              <w:t>报价要求</w:t>
            </w:r>
          </w:p>
        </w:tc>
        <w:tc>
          <w:tcPr>
            <w:tcW w:type="dxa" w:w="4238"/>
          </w:tcPr>
          <w:p>
            <w:r>
              <w:rPr/>
              <w:t>投标报价是固定价且是唯一的，投标总价未超出最高限价。</w:t>
            </w:r>
          </w:p>
        </w:tc>
      </w:tr>
      <w:tr>
        <w:tc>
          <w:tcPr>
            <w:tcW w:type="dxa" w:w="890"/>
          </w:tcPr>
          <w:p>
            <w:r>
              <w:rPr/>
              <w:t>4</w:t>
            </w:r>
          </w:p>
        </w:tc>
        <w:tc>
          <w:tcPr>
            <w:tcW w:type="dxa" w:w="3178"/>
          </w:tcPr>
          <w:p>
            <w:r>
              <w:rPr/>
              <w:t>采购代理服务费支付承诺书</w:t>
            </w:r>
          </w:p>
        </w:tc>
        <w:tc>
          <w:tcPr>
            <w:tcW w:type="dxa" w:w="4238"/>
          </w:tcPr>
          <w:p>
            <w:r>
              <w:rPr/>
              <w:t>已按招标文件要求提交采购代理服务费支付承诺书。</w:t>
            </w:r>
          </w:p>
        </w:tc>
      </w:tr>
      <w:tr>
        <w:tc>
          <w:tcPr>
            <w:tcW w:type="dxa" w:w="890"/>
          </w:tcPr>
          <w:p>
            <w:r>
              <w:rPr/>
              <w:t>5</w:t>
            </w:r>
          </w:p>
        </w:tc>
        <w:tc>
          <w:tcPr>
            <w:tcW w:type="dxa" w:w="3178"/>
          </w:tcPr>
          <w:p>
            <w:r>
              <w:rPr/>
              <w:t>供应商已递交投标保证金</w:t>
            </w:r>
          </w:p>
        </w:tc>
        <w:tc>
          <w:tcPr>
            <w:tcW w:type="dxa" w:w="4238"/>
          </w:tcPr>
          <w:p>
            <w:r>
              <w:rPr/>
              <w:t>提供银行转账凭证或担保函复印件或以采购代理机构财务系统信息为准。</w:t>
            </w:r>
          </w:p>
        </w:tc>
      </w:tr>
      <w:tr>
        <w:tc>
          <w:tcPr>
            <w:tcW w:type="dxa" w:w="890"/>
          </w:tcPr>
          <w:p>
            <w:r>
              <w:rPr/>
              <w:t>6</w:t>
            </w:r>
          </w:p>
        </w:tc>
        <w:tc>
          <w:tcPr>
            <w:tcW w:type="dxa" w:w="3178"/>
          </w:tcPr>
          <w:p>
            <w:r>
              <w:rPr/>
              <w:t>其他</w:t>
            </w:r>
          </w:p>
        </w:tc>
        <w:tc>
          <w:tcPr>
            <w:tcW w:type="dxa" w:w="4238"/>
          </w:tcPr>
          <w:p>
            <w:r>
              <w:rPr/>
              <w:t>法律、法规和招标文件规定的其他投标无效情形。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采购包1(“推进标准制度型开放研究”项目服务):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技术参数的响应情况 (10.0分)</w:t>
            </w:r>
            <w:r>
              <w:rPr/>
              <w:t>，（等次分值选择：</w:t>
            </w:r>
            <w:r>
              <w:rPr/>
              <w:t>0.0;</w:t>
            </w:r>
            <w:r>
              <w:rPr/>
              <w:t>2.0;</w:t>
            </w:r>
            <w:r>
              <w:rPr/>
              <w:t>4.0;</w:t>
            </w:r>
            <w:r>
              <w:rPr/>
              <w:t>6.0;</w:t>
            </w:r>
            <w:r>
              <w:rPr/>
              <w:t>8.0;</w:t>
            </w:r>
            <w:r>
              <w:rPr/>
              <w:t>10.0;</w:t>
            </w:r>
            <w:r>
              <w:rPr/>
              <w:t>）</w:t>
            </w:r>
          </w:p>
        </w:tc>
        <w:tc>
          <w:tcPr>
            <w:tcW w:type="dxa" w:w="5076"/>
          </w:tcPr>
          <w:p>
            <w:pPr>
              <w:jc w:val="left"/>
            </w:pPr>
            <w:r>
              <w:rPr/>
              <w:t>对项目整体的理解及需求认识程度包括但不限于：①对项目建设内容及背景的了解；②对项目相关规划的了解； 1）对本项目的整体情况和背景非常熟悉和透彻，对相关规划解读科学、合理、准确，得10分； 2）对本项目的整体情况和背景了解清晰，但不够透彻，对相关规划解读具有较好的科学性、合理性和准确性，得8分；  3）对本项目的整体情况和背景基本理解，对相关规划解读具有一定的科学性、合理性和准确性，得6分； 4）对本项目的整体情况和背景基本理解，对相关规划解读科学性、合理性和准 确性较低，得4分；  5）对项目认识不足，未能理解项目背景，对相关规划解读不够科学、不够合理、不够准确，得2分。 6）无不得分。</w:t>
            </w:r>
          </w:p>
        </w:tc>
      </w:tr>
      <w:tr>
        <w:tc>
          <w:tcPr>
            <w:tcW w:type="dxa" w:w="922"/>
            <w:gridSpan w:val="2"/>
            <w:vMerge/>
          </w:tcPr>
          <w:p/>
        </w:tc>
        <w:tc>
          <w:tcPr>
            <w:tcW w:type="dxa" w:w="2307"/>
          </w:tcPr>
          <w:p>
            <w:pPr>
              <w:jc w:val="left"/>
            </w:pPr>
            <w:r>
              <w:rPr/>
              <w:t>对研究范围的情况分析，项目重 点难点分析及合理化建议 (12.0分)</w:t>
            </w:r>
            <w:r>
              <w:rPr/>
              <w:t>，（等次分值选择：</w:t>
            </w:r>
            <w:r>
              <w:rPr/>
              <w:t>0.0;</w:t>
            </w:r>
            <w:r>
              <w:rPr/>
              <w:t>3.0;</w:t>
            </w:r>
            <w:r>
              <w:rPr/>
              <w:t>6.0;</w:t>
            </w:r>
            <w:r>
              <w:rPr/>
              <w:t>9.0;</w:t>
            </w:r>
            <w:r>
              <w:rPr/>
              <w:t>12.0;</w:t>
            </w:r>
            <w:r>
              <w:rPr/>
              <w:t>）</w:t>
            </w:r>
          </w:p>
        </w:tc>
        <w:tc>
          <w:tcPr>
            <w:tcW w:type="dxa" w:w="5076"/>
          </w:tcPr>
          <w:p>
            <w:pPr>
              <w:jc w:val="left"/>
            </w:pPr>
            <w:r>
              <w:rPr/>
              <w:t>包括对研究范围的情况分析，项目重点难点分析及合理化建议： 1）对研究范围的情况分析，项目重点难点分析把握准确到位，提出的建议科学、合理，得12分； 2）对研究范围的情况分析，项目重点难点分析把握较为 准确，提出的建议较为科学、合理，得9分； 3）对研究范围的情况分析，项目重点难点分析把握基本准确，提出的建议不够科学、合理，得6分； 4）对研究范围的情况分析，项目重点难点分析把握不够准确，提出的建议不够科学、不够合理，得3分； 5）无分析不得分。</w:t>
            </w:r>
          </w:p>
        </w:tc>
      </w:tr>
      <w:tr>
        <w:tc>
          <w:tcPr>
            <w:tcW w:type="dxa" w:w="922"/>
            <w:gridSpan w:val="2"/>
            <w:vMerge/>
          </w:tcPr>
          <w:p/>
        </w:tc>
        <w:tc>
          <w:tcPr>
            <w:tcW w:type="dxa" w:w="2307"/>
          </w:tcPr>
          <w:p>
            <w:pPr>
              <w:jc w:val="left"/>
            </w:pPr>
            <w:r>
              <w:rPr/>
              <w:t>项目技术路线、研究方法 (12.0分)</w:t>
            </w:r>
            <w:r>
              <w:rPr/>
              <w:t>，（等次分值选择：</w:t>
            </w:r>
            <w:r>
              <w:rPr/>
              <w:t>0.0;</w:t>
            </w:r>
            <w:r>
              <w:rPr/>
              <w:t>3.0;</w:t>
            </w:r>
            <w:r>
              <w:rPr/>
              <w:t>6.0;</w:t>
            </w:r>
            <w:r>
              <w:rPr/>
              <w:t>9.0;</w:t>
            </w:r>
            <w:r>
              <w:rPr/>
              <w:t>12.0;</w:t>
            </w:r>
            <w:r>
              <w:rPr/>
              <w:t>）</w:t>
            </w:r>
          </w:p>
        </w:tc>
        <w:tc>
          <w:tcPr>
            <w:tcW w:type="dxa" w:w="5076"/>
          </w:tcPr>
          <w:p>
            <w:pPr>
              <w:jc w:val="left"/>
            </w:pPr>
            <w:r>
              <w:rPr/>
              <w:t>包括对项目技术路线、研究方法的内容进行评审： 1）项目技术路线、研究方法科学合理，可行性强，得12分； 2）项目技术路线、研究方法比较科学合理，可行性比较强，得9分； 3）项目技术路线、研究方法比较科学合理，但可行性欠佳的，得6分； 4）项目技术路线、研究方法不够科学合理，可行性欠佳的，得3分； 5）无不得分。</w:t>
            </w:r>
          </w:p>
        </w:tc>
      </w:tr>
      <w:tr>
        <w:tc>
          <w:tcPr>
            <w:tcW w:type="dxa" w:w="922"/>
            <w:gridSpan w:val="2"/>
            <w:vMerge/>
          </w:tcPr>
          <w:p/>
        </w:tc>
        <w:tc>
          <w:tcPr>
            <w:tcW w:type="dxa" w:w="2307"/>
          </w:tcPr>
          <w:p>
            <w:pPr>
              <w:jc w:val="left"/>
            </w:pPr>
            <w:r>
              <w:rPr/>
              <w:t>项目初步思路与方案 (10.0分)</w:t>
            </w:r>
            <w:r>
              <w:rPr/>
              <w:t>，（等次分值选择：</w:t>
            </w:r>
            <w:r>
              <w:rPr/>
              <w:t>0.0;</w:t>
            </w:r>
            <w:r>
              <w:rPr/>
              <w:t>1.0;</w:t>
            </w:r>
            <w:r>
              <w:rPr/>
              <w:t>4.0;</w:t>
            </w:r>
            <w:r>
              <w:rPr/>
              <w:t>7.0;</w:t>
            </w:r>
            <w:r>
              <w:rPr/>
              <w:t>10.0;</w:t>
            </w:r>
            <w:r>
              <w:rPr/>
              <w:t>）</w:t>
            </w:r>
          </w:p>
        </w:tc>
        <w:tc>
          <w:tcPr>
            <w:tcW w:type="dxa" w:w="5076"/>
          </w:tcPr>
          <w:p>
            <w:pPr>
              <w:jc w:val="left"/>
            </w:pPr>
            <w:r>
              <w:rPr/>
              <w:t>包括对项目初步思路与方案的内容进行评审： 1）项目初步思路与方案内容清晰合理、有针对性、可操作性强，得10分； 2）项目初步思路与方案内容比较清晰合理，比较有针对性、可操作性强，得7分； 3）项目初步思路与方案内容不够清晰合理，但有一定的针对性和可操作性，得4分； 4）项目初步思路与方案内容不够清晰合理，可操作性较低的，得1分。 5）无不得分。</w:t>
            </w:r>
          </w:p>
        </w:tc>
      </w:tr>
      <w:tr>
        <w:tc>
          <w:tcPr>
            <w:tcW w:type="dxa" w:w="922"/>
            <w:gridSpan w:val="2"/>
            <w:vMerge/>
          </w:tcPr>
          <w:p/>
        </w:tc>
        <w:tc>
          <w:tcPr>
            <w:tcW w:type="dxa" w:w="2307"/>
          </w:tcPr>
          <w:p>
            <w:pPr>
              <w:jc w:val="left"/>
            </w:pPr>
            <w:r>
              <w:rPr/>
              <w:t>进度计划安排 (8.0分)</w:t>
            </w:r>
            <w:r>
              <w:rPr/>
              <w:t>，（等次分值选择：</w:t>
            </w:r>
            <w:r>
              <w:rPr/>
              <w:t>0.0;</w:t>
            </w:r>
            <w:r>
              <w:rPr/>
              <w:t>2.0;</w:t>
            </w:r>
            <w:r>
              <w:rPr/>
              <w:t>5.0;</w:t>
            </w:r>
            <w:r>
              <w:rPr/>
              <w:t>8.0;</w:t>
            </w:r>
            <w:r>
              <w:rPr/>
              <w:t>）</w:t>
            </w:r>
          </w:p>
        </w:tc>
        <w:tc>
          <w:tcPr>
            <w:tcW w:type="dxa" w:w="5076"/>
          </w:tcPr>
          <w:p>
            <w:pPr>
              <w:jc w:val="left"/>
            </w:pPr>
            <w:r>
              <w:rPr/>
              <w:t>包括项目工作时间计划安排： 1）项目工作时间计划安排合理性高，可行性强，得8分； 2）项目工作时间计划安排合理性较高，具有一定的可行性，得5分； 3）项目工作时间和计划基本合理，可行性较低，得2分； 4）无不得分。</w:t>
            </w:r>
          </w:p>
        </w:tc>
      </w:tr>
      <w:tr>
        <w:tc>
          <w:tcPr>
            <w:tcW w:type="dxa" w:w="922"/>
            <w:gridSpan w:val="2"/>
            <w:vMerge/>
          </w:tcPr>
          <w:p/>
        </w:tc>
        <w:tc>
          <w:tcPr>
            <w:tcW w:type="dxa" w:w="2307"/>
          </w:tcPr>
          <w:p>
            <w:pPr>
              <w:jc w:val="left"/>
            </w:pPr>
            <w:r>
              <w:rPr/>
              <w:t>质量保障措施 (8.0分)</w:t>
            </w:r>
            <w:r>
              <w:rPr/>
              <w:t>，（等次分值选择：</w:t>
            </w:r>
            <w:r>
              <w:rPr/>
              <w:t>0.0;</w:t>
            </w:r>
            <w:r>
              <w:rPr/>
              <w:t>2.0;</w:t>
            </w:r>
            <w:r>
              <w:rPr/>
              <w:t>5.0;</w:t>
            </w:r>
            <w:r>
              <w:rPr/>
              <w:t>8.0;</w:t>
            </w:r>
            <w:r>
              <w:rPr/>
              <w:t>）</w:t>
            </w:r>
          </w:p>
        </w:tc>
        <w:tc>
          <w:tcPr>
            <w:tcW w:type="dxa" w:w="5076"/>
          </w:tcPr>
          <w:p>
            <w:pPr>
              <w:jc w:val="left"/>
            </w:pPr>
            <w:r>
              <w:rPr/>
              <w:t>包括对成果文件的质量保证措施： 1）质量保证措施描述详细、具体，可行性、可操作性强，得8分； 2）质量保证措施较为详细，具有一定的可行性、可操作性较好，得5分； 3）质量保证措施完整但不够详细，可行性、可操作性较低，得2分； 4）无不得分。</w:t>
            </w:r>
          </w:p>
        </w:tc>
      </w:tr>
      <w:tr>
        <w:tc>
          <w:tcPr>
            <w:tcW w:type="dxa" w:w="922"/>
            <w:gridSpan w:val="2"/>
            <w:vMerge w:val="restart"/>
          </w:tcPr>
          <w:p>
            <w:pPr>
              <w:jc w:val="center"/>
            </w:pPr>
            <w:r>
              <w:rPr/>
              <w:t>商务部分</w:t>
            </w:r>
          </w:p>
        </w:tc>
        <w:tc>
          <w:tcPr>
            <w:tcW w:type="dxa" w:w="2307"/>
          </w:tcPr>
          <w:p>
            <w:pPr>
              <w:jc w:val="left"/>
            </w:pPr>
            <w:r>
              <w:rPr/>
              <w:t>投标人自2021年1月1日至今同类项目经验 (15.0分)</w:t>
            </w:r>
          </w:p>
        </w:tc>
        <w:tc>
          <w:tcPr>
            <w:tcW w:type="dxa" w:w="5076"/>
          </w:tcPr>
          <w:p>
            <w:pPr>
              <w:jc w:val="left"/>
            </w:pPr>
            <w:r>
              <w:rPr/>
              <w:t>投标人自2021年1月1日以来，承担过与本项目类似的宏观政策研究或战略咨询或课题研究等工作的项目经验，每提供一项得3分，本项满分15分。 注：须提供合同书复印件或中标/成交通知书或由业主单位出具的加盖公章的委托证明复印件，不提供的不得分。</w:t>
            </w:r>
          </w:p>
        </w:tc>
      </w:tr>
      <w:tr>
        <w:tc>
          <w:tcPr>
            <w:tcW w:type="dxa" w:w="922"/>
            <w:gridSpan w:val="2"/>
            <w:vMerge/>
          </w:tcPr>
          <w:p/>
        </w:tc>
        <w:tc>
          <w:tcPr>
            <w:tcW w:type="dxa" w:w="2307"/>
          </w:tcPr>
          <w:p>
            <w:pPr>
              <w:jc w:val="left"/>
            </w:pPr>
            <w:r>
              <w:rPr/>
              <w:t>项目负责人情况 (10.0分)</w:t>
            </w:r>
          </w:p>
        </w:tc>
        <w:tc>
          <w:tcPr>
            <w:tcW w:type="dxa" w:w="5076"/>
          </w:tcPr>
          <w:p>
            <w:pPr>
              <w:jc w:val="left"/>
            </w:pPr>
            <w:r>
              <w:rPr/>
              <w:t>投标人或拟投入项目负责人自2021年1月1日以来获得相关领域奖项或表彰的，每提供一个获2分，本项最高得10分。 注：同一获奖项目，仅计得分最高的一次，不重复计算；获奖时间以证书颁发时间为准。未提供证明材料，或提供的证明材料不全，或提供的证明材料均不能反映相关评审内容的，不予计算。</w:t>
            </w:r>
          </w:p>
        </w:tc>
      </w:tr>
      <w:tr>
        <w:tc>
          <w:tcPr>
            <w:tcW w:type="dxa" w:w="922"/>
            <w:gridSpan w:val="2"/>
            <w:vMerge/>
          </w:tcPr>
          <w:p/>
        </w:tc>
        <w:tc>
          <w:tcPr>
            <w:tcW w:type="dxa" w:w="2307"/>
          </w:tcPr>
          <w:p>
            <w:pPr>
              <w:jc w:val="left"/>
            </w:pPr>
            <w:r>
              <w:rPr/>
              <w:t>拟投入本项目的团队人员情况 (5.0分)</w:t>
            </w:r>
          </w:p>
        </w:tc>
        <w:tc>
          <w:tcPr>
            <w:tcW w:type="dxa" w:w="5076"/>
          </w:tcPr>
          <w:p>
            <w:pPr>
              <w:jc w:val="left"/>
            </w:pPr>
            <w:r>
              <w:rPr/>
              <w:t>（1）投入本项目的团队人员满足5人或以上的，得1分，无或其他得0分。 （2）其中每提供1名博士团队成员得1分，本小项最高得4分。 备注：①提供人员清单；②提供相关的证书复印件；③在本单位任职的外部证明材料(如社保缴纳证明或个人所得税税单或劳动合同或单位出具的任职证明等其中一项)。证明材料不清晰无法辨认的不得分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采购包2(广东省国际标准化现状及措施建议研究):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技术部分60.0分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对项目的理解 (15.0分)</w:t>
            </w:r>
            <w:r>
              <w:rPr/>
              <w:t>，（等次分值选择：</w:t>
            </w:r>
            <w:r>
              <w:rPr/>
              <w:t>0.0;</w:t>
            </w:r>
            <w:r>
              <w:rPr/>
              <w:t>3.0;</w:t>
            </w:r>
            <w:r>
              <w:rPr/>
              <w:t>8.0;</w:t>
            </w:r>
            <w:r>
              <w:rPr/>
              <w:t>15.0;</w:t>
            </w:r>
            <w:r>
              <w:rPr/>
              <w:t>）</w:t>
            </w:r>
          </w:p>
        </w:tc>
        <w:tc>
          <w:tcPr>
            <w:tcW w:type="dxa" w:w="5076"/>
          </w:tcPr>
          <w:p>
            <w:pPr>
              <w:jc w:val="left"/>
            </w:pPr>
            <w:r>
              <w:rPr/>
              <w:t>投标人对项目意义和目标把握的准确性、全面性进行评审： （1）对项目意义和目标分析透彻和充分，得15分； （2）对项目意义和目标基本理解，但阐述不深刻，得8分； （3）对项目意义和目标不理解，目标差异较大，得3分； （4）不提供不得分。</w:t>
            </w:r>
          </w:p>
        </w:tc>
      </w:tr>
      <w:tr>
        <w:tc>
          <w:tcPr>
            <w:tcW w:type="dxa" w:w="922"/>
            <w:gridSpan w:val="2"/>
            <w:vMerge/>
          </w:tcPr>
          <w:p/>
        </w:tc>
        <w:tc>
          <w:tcPr>
            <w:tcW w:type="dxa" w:w="2307"/>
          </w:tcPr>
          <w:p>
            <w:pPr>
              <w:jc w:val="left"/>
            </w:pPr>
            <w:r>
              <w:rPr/>
              <w:t>项目技术方案完整性和可操作性 (15.0分)</w:t>
            </w:r>
            <w:r>
              <w:rPr/>
              <w:t>，（等次分值选择：</w:t>
            </w:r>
            <w:r>
              <w:rPr/>
              <w:t>0.0;</w:t>
            </w:r>
            <w:r>
              <w:rPr/>
              <w:t>3.0;</w:t>
            </w:r>
            <w:r>
              <w:rPr/>
              <w:t>7.0;</w:t>
            </w:r>
            <w:r>
              <w:rPr/>
              <w:t>10.0;</w:t>
            </w:r>
            <w:r>
              <w:rPr/>
              <w:t>15.0;</w:t>
            </w:r>
            <w:r>
              <w:rPr/>
              <w:t>）</w:t>
            </w:r>
          </w:p>
        </w:tc>
        <w:tc>
          <w:tcPr>
            <w:tcW w:type="dxa" w:w="5076"/>
          </w:tcPr>
          <w:p>
            <w:pPr>
              <w:jc w:val="left"/>
            </w:pPr>
            <w:r>
              <w:rPr/>
              <w:t>(1)方案内容十分全面；内容具体、清晰、完整、严谨；内容针对性强、可操作性强得15分； (2)方案内容全面；内容有一定的清晰、完整、严谨度；内容有一定的针对性、内容有一定的可操作性，得10分； (3)有方案内容；内容清晰、完整、严谨度不够；内容针对性不够、内容可操作性不够，得7分； (4)有方案内容；内容清晰、完整、严谨度差；内容的针对性差、内容可操作性差，得3分； (5)不提供不得分。</w:t>
            </w:r>
          </w:p>
        </w:tc>
      </w:tr>
      <w:tr>
        <w:tc>
          <w:tcPr>
            <w:tcW w:type="dxa" w:w="922"/>
            <w:gridSpan w:val="2"/>
            <w:vMerge/>
          </w:tcPr>
          <w:p/>
        </w:tc>
        <w:tc>
          <w:tcPr>
            <w:tcW w:type="dxa" w:w="2307"/>
          </w:tcPr>
          <w:p>
            <w:pPr>
              <w:jc w:val="left"/>
            </w:pPr>
            <w:r>
              <w:rPr/>
              <w:t>项目实施方案进度及计划安排 (10.0分)</w:t>
            </w:r>
            <w:r>
              <w:rPr/>
              <w:t>，（等次分值选择：</w:t>
            </w:r>
            <w:r>
              <w:rPr/>
              <w:t>0.0;</w:t>
            </w:r>
            <w:r>
              <w:rPr/>
              <w:t>1.0;</w:t>
            </w:r>
            <w:r>
              <w:rPr/>
              <w:t>5.0;</w:t>
            </w:r>
            <w:r>
              <w:rPr/>
              <w:t>8.0;</w:t>
            </w:r>
            <w:r>
              <w:rPr/>
              <w:t>10.0;</w:t>
            </w:r>
            <w:r>
              <w:rPr/>
              <w:t>）</w:t>
            </w:r>
          </w:p>
        </w:tc>
        <w:tc>
          <w:tcPr>
            <w:tcW w:type="dxa" w:w="5076"/>
          </w:tcPr>
          <w:p>
            <w:pPr>
              <w:jc w:val="left"/>
            </w:pPr>
            <w:r>
              <w:rPr/>
              <w:t>（1）项目实施方案内容十分全面，系统性、合理性和可行性高，质量、进度保证措施可操作性强，得10分； （2）项目实施方案内容较完整，系统性、合理性和可行性较高，质量、进度保证措施可操作性较高，得8分； （3）项目实施方案内容基本完整，具有一定的系统性、合理性和可行性，质量、进度保证措施具有一定的可操作性，得5分； （4）项目实施方案内容不完整，质量、进度保证措施不具有可操作性，得1分； （5）不提供不得分。</w:t>
            </w:r>
          </w:p>
        </w:tc>
      </w:tr>
      <w:tr>
        <w:tc>
          <w:tcPr>
            <w:tcW w:type="dxa" w:w="922"/>
            <w:gridSpan w:val="2"/>
            <w:vMerge/>
          </w:tcPr>
          <w:p/>
        </w:tc>
        <w:tc>
          <w:tcPr>
            <w:tcW w:type="dxa" w:w="2307"/>
          </w:tcPr>
          <w:p>
            <w:pPr>
              <w:jc w:val="left"/>
            </w:pPr>
            <w:r>
              <w:rPr/>
              <w:t>对项目研究范围的情况分析，项目重点难点分析及合理化建议措施 (10.0分)</w:t>
            </w:r>
            <w:r>
              <w:rPr/>
              <w:t>，（等次分值选择：</w:t>
            </w:r>
            <w:r>
              <w:rPr/>
              <w:t>0.0;</w:t>
            </w:r>
            <w:r>
              <w:rPr/>
              <w:t>1.0;</w:t>
            </w:r>
            <w:r>
              <w:rPr/>
              <w:t>5.0;</w:t>
            </w:r>
            <w:r>
              <w:rPr/>
              <w:t>8.0;</w:t>
            </w:r>
            <w:r>
              <w:rPr/>
              <w:t>10.0;</w:t>
            </w:r>
            <w:r>
              <w:rPr/>
              <w:t>）</w:t>
            </w:r>
          </w:p>
        </w:tc>
        <w:tc>
          <w:tcPr>
            <w:tcW w:type="dxa" w:w="5076"/>
          </w:tcPr>
          <w:p>
            <w:pPr>
              <w:jc w:val="left"/>
            </w:pPr>
            <w:r>
              <w:rPr/>
              <w:t>项目包括对研究范围的情况分析，项目重点难点分析及合理化建议： （1）对研究项目提出的建议科学、合理，得10分； （2）对研究项目提出的建议较为科学、合理，得8分； （3）对研究项目提出的建议不够科学、合理，得5分； （4）对研究项目提出的建议不够科学、不够合理，得1分； （5）无建议措施不得分。</w:t>
            </w:r>
          </w:p>
        </w:tc>
      </w:tr>
      <w:tr>
        <w:tc>
          <w:tcPr>
            <w:tcW w:type="dxa" w:w="922"/>
            <w:gridSpan w:val="2"/>
            <w:vMerge/>
          </w:tcPr>
          <w:p/>
        </w:tc>
        <w:tc>
          <w:tcPr>
            <w:tcW w:type="dxa" w:w="2307"/>
          </w:tcPr>
          <w:p>
            <w:pPr>
              <w:jc w:val="left"/>
            </w:pPr>
            <w:r>
              <w:rPr/>
              <w:t>质量的保障方案 (10.0分)</w:t>
            </w:r>
            <w:r>
              <w:rPr/>
              <w:t>，（等次分值选择：</w:t>
            </w:r>
            <w:r>
              <w:rPr/>
              <w:t>0.0;</w:t>
            </w:r>
            <w:r>
              <w:rPr/>
              <w:t>1.0;</w:t>
            </w:r>
            <w:r>
              <w:rPr/>
              <w:t>5.0;</w:t>
            </w:r>
            <w:r>
              <w:rPr/>
              <w:t>10.0;</w:t>
            </w:r>
            <w:r>
              <w:rPr/>
              <w:t>）</w:t>
            </w:r>
          </w:p>
        </w:tc>
        <w:tc>
          <w:tcPr>
            <w:tcW w:type="dxa" w:w="5076"/>
          </w:tcPr>
          <w:p>
            <w:pPr>
              <w:jc w:val="left"/>
            </w:pPr>
            <w:r>
              <w:rPr/>
              <w:t>投标人针对本项目得成果（包括时间、成果等）质量保证： （1）具备完善的成果质量保证措施，质量保证措施很完善，得10分； （2）具备较完善的成果质量保证措施，质量保证措施较完善，得5分； （3）具备基本的成果质量保证措施，质量保证措施基本完善，得1分； （4）不提供不得分。</w:t>
            </w:r>
          </w:p>
        </w:tc>
      </w:tr>
      <w:tr>
        <w:tc>
          <w:tcPr>
            <w:tcW w:type="dxa" w:w="922"/>
            <w:gridSpan w:val="2"/>
            <w:vMerge w:val="restart"/>
          </w:tcPr>
          <w:p>
            <w:pPr>
              <w:jc w:val="center"/>
            </w:pPr>
            <w:r>
              <w:rPr/>
              <w:t>商务部分</w:t>
            </w:r>
          </w:p>
        </w:tc>
        <w:tc>
          <w:tcPr>
            <w:tcW w:type="dxa" w:w="2307"/>
          </w:tcPr>
          <w:p>
            <w:pPr>
              <w:jc w:val="left"/>
            </w:pPr>
            <w:r>
              <w:rPr/>
              <w:t>投标人业绩 (10.0分)</w:t>
            </w:r>
          </w:p>
        </w:tc>
        <w:tc>
          <w:tcPr>
            <w:tcW w:type="dxa" w:w="5076"/>
          </w:tcPr>
          <w:p>
            <w:pPr>
              <w:jc w:val="left"/>
            </w:pPr>
            <w:r>
              <w:rPr/>
              <w:t>投标人近三年（2020年1月1日至今）在国际标准化领域研究经验业绩。每提供一个业绩得2分，满分为10分。 注：须提供业绩证明材料合同复印件（至少含首页、主要内容页、双方盖章页）或成果证明材料并加盖公章。</w:t>
            </w:r>
          </w:p>
        </w:tc>
      </w:tr>
      <w:tr>
        <w:tc>
          <w:tcPr>
            <w:tcW w:type="dxa" w:w="922"/>
            <w:gridSpan w:val="2"/>
            <w:vMerge/>
          </w:tcPr>
          <w:p/>
        </w:tc>
        <w:tc>
          <w:tcPr>
            <w:tcW w:type="dxa" w:w="2307"/>
          </w:tcPr>
          <w:p>
            <w:pPr>
              <w:jc w:val="left"/>
            </w:pPr>
            <w:r>
              <w:rPr/>
              <w:t>项目负责人经验 (8.0分)</w:t>
            </w:r>
          </w:p>
        </w:tc>
        <w:tc>
          <w:tcPr>
            <w:tcW w:type="dxa" w:w="5076"/>
          </w:tcPr>
          <w:p>
            <w:pPr>
              <w:jc w:val="left"/>
            </w:pPr>
            <w:r>
              <w:rPr/>
              <w:t>1.项目负责人具有近五年（2018年1月1日至今）国际标准化领域或相关领域研究经验业绩或参与的标准化项目。提供1项得1分，最高得5分，未提供得0分。 注：须提供正式发布文件（至少含首页、主要内容页）并加盖公章或项目合同复印件（至少含首页、主要内容页、双方盖章页）或成果证明材料并加盖公章。 2.项目负责人为标准化高级及以上职称且具有10年以上相关经验得3 分，否则不得分。（须提供人员简历、职称证书、工作经历证明（以毕业证书时间为准）并加盖公章）</w:t>
            </w:r>
          </w:p>
        </w:tc>
      </w:tr>
      <w:tr>
        <w:tc>
          <w:tcPr>
            <w:tcW w:type="dxa" w:w="922"/>
            <w:gridSpan w:val="2"/>
            <w:vMerge/>
          </w:tcPr>
          <w:p/>
        </w:tc>
        <w:tc>
          <w:tcPr>
            <w:tcW w:type="dxa" w:w="2307"/>
          </w:tcPr>
          <w:p>
            <w:pPr>
              <w:jc w:val="left"/>
            </w:pPr>
            <w:r>
              <w:rPr/>
              <w:t>项目组成员 (12.0分)</w:t>
            </w:r>
          </w:p>
        </w:tc>
        <w:tc>
          <w:tcPr>
            <w:tcW w:type="dxa" w:w="5076"/>
          </w:tcPr>
          <w:p>
            <w:pPr>
              <w:jc w:val="left"/>
            </w:pPr>
            <w:r>
              <w:rPr/>
              <w:t>项目组成员具有硕士学历及以上或具有中级及以上职称，每提供一人得3分，最高得12分。未提供不得分 （须提供相应的学历证明或职称证明并加盖公章，未提供或未盖章不得分，同一人员分别符合两小项要求的，不重复计分。）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4"/>
        </w:rPr>
        <w:t>广东省市场监督管理局政府采购</w:t>
      </w:r>
    </w:p>
    <w:p>
      <w:pPr>
        <w:jc w:val="both"/>
      </w:pPr>
    </w:p>
    <w:p>
      <w:pPr>
        <w:jc w:val="center"/>
      </w:pPr>
      <w:r>
        <w:rPr>
          <w:b/>
          <w:sz w:val="36"/>
        </w:rPr>
        <w:t>（所有采购包均适用）</w:t>
      </w:r>
    </w:p>
    <w:p>
      <w:pPr>
        <w:jc w:val="center"/>
      </w:pPr>
    </w:p>
    <w:p>
      <w:pPr>
        <w:jc w:val="center"/>
      </w:pPr>
      <w:r>
        <w:rPr>
          <w:b/>
          <w:sz w:val="52"/>
        </w:rPr>
        <w:t>合　同　书</w:t>
      </w:r>
    </w:p>
    <w:p>
      <w:pPr>
        <w:jc w:val="center"/>
      </w:pPr>
    </w:p>
    <w:p>
      <w:pPr>
        <w:jc w:val="both"/>
      </w:pPr>
    </w:p>
    <w:p>
      <w:pPr>
        <w:jc w:val="both"/>
      </w:pPr>
    </w:p>
    <w:p>
      <w:pPr>
        <w:jc w:val="both"/>
      </w:pP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vAlign w:val="top"/>
          </w:tcPr>
          <w:p>
            <w:pPr>
              <w:jc w:val="both"/>
            </w:pPr>
            <w:r>
              <w:rPr>
                <w:b/>
                <w:sz w:val="24"/>
              </w:rPr>
              <w:t>采购编号：</w:t>
            </w:r>
            <w:r>
              <w:rPr>
                <w:b/>
                <w:sz w:val="21"/>
                <w:u w:val="single"/>
              </w:rPr>
              <w:t xml:space="preserve">                          </w:t>
            </w:r>
          </w:p>
        </w:tc>
      </w:tr>
      <w:tr>
        <w:tc>
          <w:tcPr>
            <w:tcW w:type="dxa" w:w="5400"/>
            <w:tcBorders>
              <w:top w:val="none" w:color="000000" w:sz="4"/>
              <w:left w:val="none" w:color="000000" w:sz="4"/>
              <w:bottom w:val="none" w:color="000000" w:sz="4"/>
              <w:right w:val="none" w:color="000000" w:sz="4"/>
            </w:tcBorders>
            <w:vAlign w:val="top"/>
          </w:tcPr>
          <w:p>
            <w:pPr>
              <w:jc w:val="both"/>
            </w:pPr>
          </w:p>
        </w:tc>
      </w:tr>
      <w:tr>
        <w:tc>
          <w:tcPr>
            <w:tcW w:type="dxa" w:w="5400"/>
            <w:tcBorders>
              <w:top w:val="none" w:color="000000" w:sz="4"/>
              <w:left w:val="none" w:color="000000" w:sz="4"/>
              <w:bottom w:val="none" w:color="000000" w:sz="4"/>
              <w:right w:val="none" w:color="000000" w:sz="4"/>
            </w:tcBorders>
            <w:vAlign w:val="top"/>
          </w:tcPr>
          <w:p>
            <w:pPr>
              <w:jc w:val="both"/>
            </w:pPr>
            <w:r>
              <w:rPr>
                <w:b/>
                <w:sz w:val="24"/>
              </w:rPr>
              <w:t>项目名称：</w:t>
            </w:r>
            <w:r>
              <w:rPr>
                <w:b/>
                <w:sz w:val="21"/>
                <w:u w:val="single"/>
              </w:rPr>
              <w:t xml:space="preserve">                          </w:t>
            </w:r>
          </w:p>
        </w:tc>
      </w:tr>
      <w:tr>
        <w:tc>
          <w:tcPr>
            <w:tcW w:type="dxa" w:w="5400"/>
            <w:tcBorders>
              <w:top w:val="none" w:color="000000" w:sz="4"/>
              <w:left w:val="none" w:color="000000" w:sz="4"/>
              <w:bottom w:val="none" w:color="000000" w:sz="4"/>
              <w:right w:val="none" w:color="000000" w:sz="4"/>
            </w:tcBorders>
            <w:vAlign w:val="top"/>
          </w:tcPr>
          <w:p>
            <w:pPr>
              <w:jc w:val="both"/>
            </w:pPr>
          </w:p>
        </w:tc>
      </w:tr>
    </w:tbl>
    <w:p>
      <w:pPr>
        <w:jc w:val="both"/>
      </w:pPr>
    </w:p>
    <w:p>
      <w:pPr>
        <w:jc w:val="both"/>
      </w:pPr>
    </w:p>
    <w:p>
      <w:pPr>
        <w:jc w:val="both"/>
      </w:pPr>
    </w:p>
    <w:p>
      <w:pPr>
        <w:jc w:val="both"/>
      </w:pPr>
    </w:p>
    <w:p>
      <w:pPr>
        <w:jc w:val="both"/>
      </w:pPr>
    </w:p>
    <w:p>
      <w:pPr>
        <w:jc w:val="both"/>
      </w:pPr>
    </w:p>
    <w:p>
      <w:pPr>
        <w:jc w:val="both"/>
      </w:pPr>
    </w:p>
    <w:p>
      <w:pPr>
        <w:ind w:firstLine="422"/>
        <w:jc w:val="both"/>
      </w:pPr>
      <w:r>
        <w:rPr>
          <w:b/>
          <w:sz w:val="21"/>
        </w:rPr>
        <w:t>注：本合同仅为合同的参考文本，合同签订双方可根据项目的具体要求进行修订，但不得修改实质性条款。</w:t>
      </w:r>
    </w:p>
    <w:p>
      <w:pPr>
        <w:jc w:val="both"/>
      </w:pPr>
      <w:r>
        <w:rPr>
          <w:sz w:val="24"/>
        </w:rPr>
        <w:t>甲　　方：</w:t>
      </w:r>
    </w:p>
    <w:p>
      <w:pPr>
        <w:jc w:val="both"/>
      </w:pPr>
      <w:r>
        <w:rPr>
          <w:sz w:val="24"/>
        </w:rPr>
        <w:t>电　　话：　</w:t>
      </w:r>
    </w:p>
    <w:p>
      <w:pPr>
        <w:jc w:val="both"/>
      </w:pPr>
      <w:r>
        <w:rPr>
          <w:sz w:val="24"/>
        </w:rPr>
        <w:t>传　　真：</w:t>
      </w:r>
    </w:p>
    <w:p>
      <w:pPr>
        <w:jc w:val="both"/>
      </w:pPr>
      <w:r>
        <w:rPr>
          <w:sz w:val="24"/>
        </w:rPr>
        <w:t>地　　址：</w:t>
      </w:r>
    </w:p>
    <w:p>
      <w:pPr>
        <w:jc w:val="both"/>
      </w:pPr>
    </w:p>
    <w:p>
      <w:pPr>
        <w:jc w:val="both"/>
      </w:pPr>
      <w:r>
        <w:rPr>
          <w:sz w:val="24"/>
        </w:rPr>
        <w:t>乙　　方：　　　　　　　　　　</w:t>
      </w:r>
    </w:p>
    <w:p>
      <w:pPr>
        <w:jc w:val="both"/>
      </w:pPr>
      <w:r>
        <w:rPr>
          <w:sz w:val="24"/>
        </w:rPr>
        <w:t>电　　话：　　　　　　　　</w:t>
      </w:r>
    </w:p>
    <w:p>
      <w:pPr>
        <w:jc w:val="both"/>
      </w:pPr>
      <w:r>
        <w:rPr>
          <w:sz w:val="24"/>
        </w:rPr>
        <w:t>传　　真：　　　　　　　　</w:t>
      </w:r>
    </w:p>
    <w:p>
      <w:pPr>
        <w:jc w:val="both"/>
      </w:pPr>
      <w:r>
        <w:rPr>
          <w:sz w:val="24"/>
        </w:rPr>
        <w:t>地　　址：　　　　　　　　　　</w:t>
      </w:r>
    </w:p>
    <w:p>
      <w:pPr>
        <w:jc w:val="both"/>
      </w:pPr>
      <w:r>
        <w:rPr>
          <w:sz w:val="24"/>
        </w:rPr>
        <w:t>项目名称：　　　　　　　　　　　　　　　　　　　　　</w:t>
      </w:r>
    </w:p>
    <w:p>
      <w:pPr>
        <w:jc w:val="both"/>
      </w:pPr>
      <w:r>
        <w:rPr>
          <w:sz w:val="24"/>
        </w:rPr>
        <w:t>采购编号：</w:t>
      </w:r>
    </w:p>
    <w:p>
      <w:pPr>
        <w:ind w:firstLine="480"/>
        <w:jc w:val="both"/>
      </w:pPr>
    </w:p>
    <w:p>
      <w:pPr>
        <w:ind w:firstLine="480"/>
        <w:jc w:val="both"/>
      </w:pPr>
      <w:r>
        <w:rPr>
          <w:sz w:val="24"/>
        </w:rPr>
        <w:t>根据</w:t>
      </w:r>
      <w:r>
        <w:rPr>
          <w:sz w:val="24"/>
          <w:u w:val="single"/>
        </w:rPr>
        <w:t xml:space="preserve">              </w:t>
      </w:r>
      <w:r>
        <w:rPr>
          <w:sz w:val="24"/>
          <w:u w:val="single"/>
        </w:rPr>
        <w:t>项目</w:t>
      </w:r>
      <w:r>
        <w:rPr>
          <w:sz w:val="24"/>
        </w:rPr>
        <w:t>的采购结果，按照《中华人民共和国民法典》的规定，</w:t>
      </w:r>
      <w:r>
        <w:rPr>
          <w:sz w:val="24"/>
        </w:rPr>
        <w:t>经双方协商，</w:t>
      </w:r>
      <w:r>
        <w:rPr>
          <w:sz w:val="24"/>
        </w:rPr>
        <w:t>本着平等互利和诚实信用的原则，</w:t>
      </w:r>
      <w:r>
        <w:rPr>
          <w:sz w:val="24"/>
        </w:rPr>
        <w:t>一致同意签订本合同如下</w:t>
      </w:r>
      <w:r>
        <w:rPr>
          <w:sz w:val="24"/>
        </w:rPr>
        <w:t>。</w:t>
      </w:r>
    </w:p>
    <w:p>
      <w:pPr>
        <w:numPr>
          <w:ilvl w:val="0"/>
          <w:numId w:val="1"/>
        </w:numPr>
        <w:jc w:val="both"/>
      </w:pPr>
      <w:r>
        <w:rPr>
          <w:b/>
          <w:sz w:val="24"/>
        </w:rPr>
        <w:t>合同金额</w:t>
      </w:r>
    </w:p>
    <w:p>
      <w:pPr>
        <w:ind w:firstLine="480"/>
        <w:jc w:val="both"/>
      </w:pPr>
      <w:r>
        <w:rPr>
          <w:sz w:val="24"/>
        </w:rPr>
        <w:t>合同金额为（大写）：</w:t>
      </w:r>
      <w:r>
        <w:rPr>
          <w:sz w:val="24"/>
        </w:rPr>
        <w:t>_________________元（￥_______________元）人民币。</w:t>
      </w:r>
    </w:p>
    <w:p>
      <w:pPr>
        <w:numPr>
          <w:ilvl w:val="0"/>
          <w:numId w:val="1"/>
        </w:numPr>
        <w:jc w:val="both"/>
      </w:pPr>
      <w:r>
        <w:rPr>
          <w:b/>
          <w:sz w:val="24"/>
        </w:rPr>
        <w:t>服务范围</w:t>
      </w:r>
    </w:p>
    <w:p>
      <w:pPr>
        <w:jc w:val="both"/>
      </w:pPr>
      <w:r>
        <w:rPr>
          <w:sz w:val="24"/>
        </w:rPr>
        <w:t>　　甲方聘请乙方提供以下服务：</w:t>
      </w:r>
    </w:p>
    <w:p>
      <w:pPr>
        <w:numPr>
          <w:ilvl w:val="0"/>
          <w:numId w:val="1"/>
        </w:numPr>
        <w:jc w:val="both"/>
      </w:pPr>
      <w:r>
        <w:rPr>
          <w:sz w:val="24"/>
        </w:rPr>
        <w:t>本合同项下的服务指</w:t>
      </w:r>
      <w:r>
        <w:rPr>
          <w:sz w:val="21"/>
          <w:u w:val="single"/>
        </w:rPr>
        <w:t xml:space="preserve">                            </w:t>
      </w:r>
      <w:r>
        <w:rPr>
          <w:sz w:val="24"/>
        </w:rPr>
        <w:t>。</w:t>
      </w:r>
    </w:p>
    <w:p>
      <w:pPr>
        <w:numPr>
          <w:ilvl w:val="0"/>
          <w:numId w:val="1"/>
        </w:numPr>
        <w:jc w:val="both"/>
      </w:pPr>
      <w:r>
        <w:rPr>
          <w:sz w:val="24"/>
        </w:rPr>
        <w:t>......</w:t>
      </w:r>
    </w:p>
    <w:p>
      <w:pPr>
        <w:numPr>
          <w:ilvl w:val="0"/>
          <w:numId w:val="1"/>
        </w:numPr>
        <w:jc w:val="both"/>
      </w:pPr>
      <w:r>
        <w:rPr>
          <w:sz w:val="24"/>
        </w:rPr>
        <w:t>．</w:t>
      </w:r>
      <w:r>
        <w:rPr>
          <w:sz w:val="24"/>
        </w:rPr>
        <w:t>......</w:t>
      </w:r>
    </w:p>
    <w:p>
      <w:pPr>
        <w:numPr>
          <w:ilvl w:val="0"/>
          <w:numId w:val="1"/>
        </w:numPr>
        <w:jc w:val="both"/>
      </w:pPr>
      <w:r>
        <w:rPr>
          <w:b/>
          <w:sz w:val="24"/>
        </w:rPr>
        <w:t>甲方乙方的权利和义务</w:t>
      </w:r>
    </w:p>
    <w:p>
      <w:pPr>
        <w:jc w:val="both"/>
      </w:pPr>
      <w:r>
        <w:rPr>
          <w:sz w:val="24"/>
        </w:rPr>
        <w:t xml:space="preserve">  </w:t>
      </w:r>
      <w:r>
        <w:rPr>
          <w:sz w:val="24"/>
        </w:rPr>
        <w:t>（一）</w:t>
      </w:r>
      <w:r>
        <w:rPr>
          <w:sz w:val="24"/>
        </w:rPr>
        <w:t>甲方的权利和义务</w:t>
      </w:r>
    </w:p>
    <w:p>
      <w:pPr>
        <w:jc w:val="both"/>
      </w:pPr>
      <w:r>
        <w:rPr>
          <w:sz w:val="24"/>
        </w:rPr>
        <w:t xml:space="preserve">  </w:t>
      </w:r>
      <w:r>
        <w:rPr>
          <w:sz w:val="24"/>
        </w:rPr>
        <w:t>（二）</w:t>
      </w:r>
      <w:r>
        <w:rPr>
          <w:sz w:val="24"/>
        </w:rPr>
        <w:t>乙方的权利和义务</w:t>
      </w:r>
    </w:p>
    <w:p>
      <w:pPr>
        <w:numPr>
          <w:ilvl w:val="0"/>
          <w:numId w:val="1"/>
        </w:numPr>
        <w:jc w:val="both"/>
      </w:pPr>
      <w:r>
        <w:rPr>
          <w:b/>
          <w:sz w:val="24"/>
        </w:rPr>
        <w:t>服务期间（项目完成期限）</w:t>
      </w:r>
    </w:p>
    <w:p>
      <w:pPr>
        <w:ind w:firstLine="435"/>
        <w:jc w:val="both"/>
      </w:pPr>
      <w:r>
        <w:rPr>
          <w:sz w:val="24"/>
        </w:rPr>
        <w:t>委托服务期间自</w:t>
      </w:r>
      <w:r>
        <w:rPr>
          <w:sz w:val="24"/>
        </w:rPr>
        <w:t>______年______月至______年______月止。</w:t>
      </w:r>
    </w:p>
    <w:p>
      <w:pPr>
        <w:numPr>
          <w:ilvl w:val="0"/>
          <w:numId w:val="1"/>
        </w:numPr>
        <w:jc w:val="both"/>
      </w:pPr>
      <w:r>
        <w:rPr>
          <w:b/>
          <w:sz w:val="24"/>
        </w:rPr>
        <w:t>付款方式</w:t>
      </w:r>
    </w:p>
    <w:p>
      <w:pPr>
        <w:jc w:val="both"/>
      </w:pPr>
      <w:r>
        <w:rPr>
          <w:sz w:val="24"/>
        </w:rPr>
        <w:t xml:space="preserve">   </w:t>
      </w:r>
      <w:r>
        <w:rPr>
          <w:sz w:val="24"/>
        </w:rPr>
        <w:t>详见用户需求书。</w:t>
      </w:r>
    </w:p>
    <w:p>
      <w:pPr>
        <w:numPr>
          <w:ilvl w:val="0"/>
          <w:numId w:val="1"/>
        </w:numPr>
        <w:jc w:val="both"/>
      </w:pPr>
      <w:r>
        <w:rPr>
          <w:b/>
          <w:sz w:val="24"/>
        </w:rPr>
        <w:t>违约责任与赔偿损失</w:t>
      </w:r>
    </w:p>
    <w:p>
      <w:pPr>
        <w:numPr>
          <w:ilvl w:val="0"/>
          <w:numId w:val="1"/>
        </w:numPr>
        <w:jc w:val="both"/>
      </w:pPr>
      <w:r>
        <w:rPr>
          <w:sz w:val="24"/>
        </w:rPr>
        <w:t>乙方提供的服务不符合招标文件、投标文件或本合同规定的，甲方有权拒收，并且乙方须向甲方支付本合同总价</w:t>
      </w:r>
      <w:r>
        <w:rPr>
          <w:sz w:val="24"/>
        </w:rPr>
        <w:t>5%的违约金。</w:t>
      </w:r>
    </w:p>
    <w:p>
      <w:pPr>
        <w:numPr>
          <w:ilvl w:val="0"/>
          <w:numId w:val="1"/>
        </w:numPr>
        <w:jc w:val="both"/>
      </w:pPr>
      <w:r>
        <w:rPr>
          <w:sz w:val="24"/>
        </w:rPr>
        <w:t>乙方未能按本合同规定的交货时间提供服务，从逾期之日起每日按本合同总价</w:t>
      </w:r>
      <w:r>
        <w:rPr>
          <w:sz w:val="24"/>
        </w:rPr>
        <w:t>3‰的数额向甲方支付违约金；逾期半个月以上的，甲方有权终止合同，由此造成的甲方经济损失由乙方承担。</w:t>
      </w:r>
    </w:p>
    <w:p>
      <w:pPr>
        <w:numPr>
          <w:ilvl w:val="0"/>
          <w:numId w:val="1"/>
        </w:numPr>
        <w:jc w:val="both"/>
      </w:pPr>
      <w:r>
        <w:rPr>
          <w:sz w:val="24"/>
        </w:rPr>
        <w:t>甲方无正当理由拒收接受服务，到期拒付服务款项的，甲方向乙方偿付本合同总的</w:t>
      </w:r>
      <w:r>
        <w:rPr>
          <w:sz w:val="24"/>
        </w:rPr>
        <w:t>5%的违约金。甲方人逾期付款，则每日按本合同总价的3‰向乙方偿付违约金。</w:t>
      </w:r>
    </w:p>
    <w:p>
      <w:pPr>
        <w:numPr>
          <w:ilvl w:val="0"/>
          <w:numId w:val="1"/>
        </w:numPr>
        <w:jc w:val="both"/>
      </w:pPr>
      <w:r>
        <w:rPr>
          <w:sz w:val="24"/>
        </w:rPr>
        <w:t>其它违约责任按《中华人民共和国民法典》处理。</w:t>
      </w:r>
    </w:p>
    <w:p>
      <w:pPr>
        <w:numPr>
          <w:ilvl w:val="0"/>
          <w:numId w:val="1"/>
        </w:numPr>
        <w:jc w:val="both"/>
      </w:pPr>
      <w:r>
        <w:rPr>
          <w:b/>
          <w:sz w:val="24"/>
        </w:rPr>
        <w:t>争端的解决</w:t>
      </w:r>
    </w:p>
    <w:p>
      <w:pPr>
        <w:jc w:val="both"/>
      </w:pPr>
      <w:r>
        <w:rPr>
          <w:sz w:val="24"/>
        </w:rPr>
        <w:t xml:space="preserve">    </w:t>
      </w:r>
      <w:r>
        <w:rPr>
          <w:sz w:val="24"/>
        </w:rPr>
        <w:t>合同执行过程中发生的任何争议，如双方不能通过友好协商解决，按相关法律法规处理。</w:t>
      </w:r>
    </w:p>
    <w:p>
      <w:pPr>
        <w:numPr>
          <w:ilvl w:val="0"/>
          <w:numId w:val="1"/>
        </w:numPr>
        <w:jc w:val="both"/>
      </w:pPr>
      <w:r>
        <w:rPr>
          <w:b/>
          <w:sz w:val="24"/>
        </w:rPr>
        <w:t>不可抗力：</w:t>
      </w:r>
    </w:p>
    <w:p>
      <w:pPr>
        <w:jc w:val="both"/>
      </w:pPr>
      <w:r>
        <w:rPr>
          <w:sz w:val="24"/>
        </w:rPr>
        <w:t xml:space="preserve">    </w:t>
      </w: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numPr>
          <w:ilvl w:val="0"/>
          <w:numId w:val="1"/>
        </w:numPr>
        <w:jc w:val="both"/>
      </w:pPr>
      <w:r>
        <w:rPr>
          <w:b/>
          <w:sz w:val="24"/>
        </w:rPr>
        <w:t>税费：</w:t>
      </w:r>
    </w:p>
    <w:p>
      <w:pPr>
        <w:jc w:val="both"/>
      </w:pPr>
      <w:r>
        <w:rPr>
          <w:sz w:val="24"/>
        </w:rPr>
        <w:t xml:space="preserve">   </w:t>
      </w:r>
      <w:r>
        <w:rPr>
          <w:sz w:val="24"/>
        </w:rPr>
        <w:t>在中国境内、外发生的与本合同执行有关的一切税费均由乙方负担。</w:t>
      </w:r>
    </w:p>
    <w:p>
      <w:pPr>
        <w:numPr>
          <w:ilvl w:val="0"/>
          <w:numId w:val="1"/>
        </w:numPr>
        <w:jc w:val="both"/>
      </w:pPr>
      <w:r>
        <w:rPr>
          <w:b/>
          <w:sz w:val="24"/>
        </w:rPr>
        <w:t>其它</w:t>
      </w:r>
    </w:p>
    <w:p>
      <w:pPr>
        <w:numPr>
          <w:ilvl w:val="0"/>
          <w:numId w:val="1"/>
        </w:numPr>
        <w:jc w:val="both"/>
      </w:pPr>
      <w:r>
        <w:rPr>
          <w:sz w:val="24"/>
        </w:rPr>
        <w:t>本合同所有附件、招标文件、投标文件、中标通知书均为合同的有效组成部分，与本合同具有同等法律效力。</w:t>
      </w:r>
    </w:p>
    <w:p>
      <w:pPr>
        <w:numPr>
          <w:ilvl w:val="0"/>
          <w:numId w:val="1"/>
        </w:numPr>
        <w:jc w:val="both"/>
      </w:pPr>
      <w:r>
        <w:rPr>
          <w:sz w:val="24"/>
        </w:rPr>
        <w:t>在执行本合同的过程中，所有经双方签署确认的文件（包括会议纪要、补充协议、往来信函）即成为本合同的有效组成部分。</w:t>
      </w:r>
    </w:p>
    <w:p>
      <w:pPr>
        <w:numPr>
          <w:ilvl w:val="0"/>
          <w:numId w:val="1"/>
        </w:numPr>
        <w:jc w:val="both"/>
      </w:pPr>
      <w:r>
        <w:rPr>
          <w:sz w:val="24"/>
        </w:rPr>
        <w:t>如一方地址、电话、传真号码有变更，应在变更当日内书面通知对方，否则，应承担相应责任。</w:t>
      </w:r>
    </w:p>
    <w:p>
      <w:pPr>
        <w:numPr>
          <w:ilvl w:val="0"/>
          <w:numId w:val="1"/>
        </w:numPr>
        <w:jc w:val="both"/>
      </w:pPr>
      <w:r>
        <w:rPr>
          <w:sz w:val="24"/>
        </w:rPr>
        <w:t>除甲方事先书面同意外，乙方不得部分或全部转让其应履行的合同项下的义务。</w:t>
      </w:r>
    </w:p>
    <w:p>
      <w:pPr>
        <w:numPr>
          <w:ilvl w:val="0"/>
          <w:numId w:val="1"/>
        </w:numPr>
        <w:jc w:val="both"/>
      </w:pPr>
      <w:r>
        <w:rPr>
          <w:b/>
          <w:sz w:val="24"/>
        </w:rPr>
        <w:t>合同生效：</w:t>
      </w:r>
    </w:p>
    <w:p>
      <w:pPr>
        <w:numPr>
          <w:ilvl w:val="0"/>
          <w:numId w:val="1"/>
        </w:numPr>
        <w:jc w:val="both"/>
      </w:pPr>
      <w:r>
        <w:rPr>
          <w:sz w:val="24"/>
        </w:rPr>
        <w:t>本</w:t>
      </w:r>
      <w:r>
        <w:rPr>
          <w:sz w:val="24"/>
        </w:rPr>
        <w:t>合同在甲乙双方法人代表或其授权代表签字盖章后生效。</w:t>
      </w:r>
    </w:p>
    <w:p>
      <w:pPr>
        <w:numPr>
          <w:ilvl w:val="0"/>
          <w:numId w:val="1"/>
        </w:numPr>
        <w:jc w:val="both"/>
      </w:pPr>
      <w:r>
        <w:rPr>
          <w:sz w:val="24"/>
        </w:rPr>
        <w:t>合同一式</w:t>
      </w:r>
      <w:r>
        <w:rPr>
          <w:sz w:val="21"/>
          <w:u w:val="single"/>
        </w:rPr>
        <w:t xml:space="preserve">    </w:t>
      </w:r>
      <w:r>
        <w:rPr>
          <w:sz w:val="24"/>
        </w:rPr>
        <w:t>份，甲、乙双方各执</w:t>
      </w:r>
      <w:r>
        <w:rPr>
          <w:sz w:val="21"/>
          <w:u w:val="single"/>
        </w:rPr>
        <w:t xml:space="preserve">    </w:t>
      </w:r>
      <w:r>
        <w:rPr>
          <w:sz w:val="24"/>
        </w:rPr>
        <w:t>份，采购代理机构</w:t>
      </w:r>
      <w:r>
        <w:rPr>
          <w:sz w:val="21"/>
          <w:u w:val="single"/>
        </w:rPr>
        <w:t xml:space="preserve">    </w:t>
      </w:r>
      <w:r>
        <w:rPr>
          <w:sz w:val="24"/>
        </w:rPr>
        <w:t>份。</w:t>
      </w:r>
    </w:p>
    <w:p>
      <w:pPr>
        <w:jc w:val="both"/>
      </w:pPr>
      <w:r>
        <w:rPr>
          <w:sz w:val="24"/>
        </w:rPr>
        <w:t>（以下为签字页，无正文）</w:t>
      </w:r>
    </w:p>
    <w:p>
      <w:pPr>
        <w:jc w:val="both"/>
      </w:pPr>
    </w:p>
    <w:p>
      <w:pPr>
        <w:jc w:val="both"/>
      </w:pPr>
      <w:r>
        <w:rPr>
          <w:sz w:val="24"/>
        </w:rPr>
        <w:t>甲方（盖章）：</w:t>
      </w:r>
      <w:r>
        <w:rPr>
          <w:sz w:val="24"/>
        </w:rPr>
        <w:t xml:space="preserve">                            </w:t>
      </w:r>
    </w:p>
    <w:p>
      <w:pPr>
        <w:jc w:val="both"/>
      </w:pPr>
      <w:r>
        <w:rPr>
          <w:sz w:val="24"/>
        </w:rPr>
        <w:t>法人（授权）代表（签字盖章）：</w:t>
      </w:r>
    </w:p>
    <w:p>
      <w:pPr>
        <w:jc w:val="both"/>
      </w:pPr>
      <w:r>
        <w:rPr>
          <w:sz w:val="24"/>
        </w:rPr>
        <w:t>签定地点：</w:t>
      </w:r>
    </w:p>
    <w:p>
      <w:pPr>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jc w:val="both"/>
      </w:pPr>
      <w:r>
        <w:rPr>
          <w:sz w:val="24"/>
        </w:rPr>
        <w:t>开票名称：</w:t>
      </w:r>
    </w:p>
    <w:p>
      <w:pPr>
        <w:jc w:val="both"/>
      </w:pPr>
      <w:r>
        <w:rPr>
          <w:sz w:val="24"/>
        </w:rPr>
        <w:t>纳税识别码：</w:t>
      </w:r>
    </w:p>
    <w:p>
      <w:pPr>
        <w:jc w:val="both"/>
      </w:pPr>
    </w:p>
    <w:p>
      <w:pPr>
        <w:jc w:val="both"/>
      </w:pPr>
    </w:p>
    <w:p>
      <w:pPr>
        <w:jc w:val="both"/>
      </w:pPr>
      <w:r>
        <w:rPr>
          <w:sz w:val="24"/>
        </w:rPr>
        <w:t>甲方（盖章）：</w:t>
      </w:r>
      <w:r>
        <w:rPr>
          <w:sz w:val="24"/>
        </w:rPr>
        <w:t xml:space="preserve">                            </w:t>
      </w:r>
    </w:p>
    <w:p>
      <w:pPr>
        <w:jc w:val="both"/>
      </w:pPr>
      <w:r>
        <w:rPr>
          <w:sz w:val="24"/>
        </w:rPr>
        <w:t>法人（授权）代表（签字盖章）：</w:t>
      </w:r>
    </w:p>
    <w:p>
      <w:pPr>
        <w:jc w:val="both"/>
      </w:pPr>
      <w:r>
        <w:rPr>
          <w:sz w:val="24"/>
        </w:rPr>
        <w:t>签定地点：</w:t>
      </w:r>
    </w:p>
    <w:p>
      <w:pPr>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jc w:val="both"/>
      </w:pPr>
      <w:r>
        <w:rPr>
          <w:sz w:val="24"/>
        </w:rPr>
        <w:t>开户名称：</w:t>
      </w:r>
    </w:p>
    <w:p>
      <w:pPr>
        <w:jc w:val="both"/>
      </w:pPr>
      <w:r>
        <w:rPr>
          <w:sz w:val="24"/>
        </w:rPr>
        <w:t>银行帐号：</w:t>
      </w:r>
    </w:p>
    <w:p>
      <w:pPr>
        <w:jc w:val="both"/>
      </w:pPr>
      <w:r>
        <w:rPr>
          <w:sz w:val="24"/>
        </w:rPr>
        <w:t>开</w:t>
      </w:r>
      <w:r>
        <w:rPr>
          <w:sz w:val="24"/>
        </w:rPr>
        <w:t>户</w:t>
      </w:r>
      <w:r>
        <w:rPr>
          <w:sz w:val="24"/>
        </w:rPr>
        <w:t>行：</w:t>
      </w:r>
    </w:p>
    <w:p>
      <w:pPr>
        <w:jc w:val="both"/>
      </w:pPr>
      <w:r>
        <w:rPr>
          <w:sz w:val="21"/>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440001-2023-38511</w:t>
      </w:r>
    </w:p>
    <w:p>
      <w:pPr>
        <w:jc w:val="center"/>
      </w:pPr>
      <w:r>
        <w:rPr>
          <w:b/>
          <w:sz w:val="24"/>
        </w:rPr>
        <w:t>采购项目编号：</w:t>
      </w:r>
      <w:r>
        <w:rPr>
          <w:b/>
          <w:sz w:val="24"/>
        </w:rPr>
        <w:t>HYGZ23XZ01C0399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广东弘烨项目管理有限公司</w:t>
      </w:r>
    </w:p>
    <w:p>
      <w:pPr>
        <w:ind w:firstLine="480"/>
      </w:pPr>
      <w:r>
        <w:rPr/>
        <w:t>你方组织的</w:t>
      </w:r>
      <w:r>
        <w:rPr>
          <w:u w:val="single"/>
        </w:rPr>
        <w:t>“</w:t>
      </w:r>
      <w:r>
        <w:rPr>
          <w:u w:val="single"/>
        </w:rPr>
        <w:t>广东标准国际标准化专题研究项目</w:t>
      </w:r>
      <w:r>
        <w:rPr>
          <w:u w:val="single"/>
        </w:rPr>
        <w:t>”</w:t>
      </w:r>
      <w:r>
        <w:rPr/>
        <w:t>项目的招标[采购项目编号为：</w:t>
      </w:r>
      <w:r>
        <w:rPr>
          <w:u w:val="single"/>
        </w:rPr>
        <w:t>HYGZ23XZ01C0399</w:t>
      </w:r>
      <w:r>
        <w:rPr/>
        <w:t>]，我方愿参与投标。</w:t>
      </w:r>
    </w:p>
    <w:p>
      <w:pPr>
        <w:ind w:firstLine="480"/>
      </w:pPr>
      <w:r>
        <w:rPr/>
        <w:t>我方确认收到贵方提供的</w:t>
      </w:r>
      <w:r>
        <w:rPr>
          <w:u w:val="single"/>
        </w:rPr>
        <w:t>“</w:t>
      </w:r>
      <w:r>
        <w:rPr>
          <w:u w:val="single"/>
        </w:rPr>
        <w:t>广东标准国际标准化专题研究项目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广东弘烨项目管理有限公司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广东标准国际标准化专题研究项目</w:t>
      </w:r>
      <w:r>
        <w:rPr/>
        <w:t>”项目采购[采购项目编号为</w:t>
      </w:r>
      <w:r>
        <w:rPr/>
        <w:t>HYGZ23XZ01C0399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广东省市场监督管理局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广东弘烨项目管理有限公司</w:t>
      </w:r>
    </w:p>
    <w:p>
      <w:pPr>
        <w:ind w:firstLine="480"/>
      </w:pPr>
      <w:r>
        <w:rPr/>
        <w:t>如果我方在贵采购代理机构组织的</w:t>
      </w:r>
      <w:r>
        <w:rPr/>
        <w:t>广东标准国际标准化专题研究项目</w:t>
      </w:r>
      <w:r>
        <w:rPr/>
        <w:t>招标中获中标（采购项目编号：</w:t>
      </w:r>
      <w:r>
        <w:rPr/>
        <w:t>HYGZ23XZ01C0399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广东弘烨项目管理有限公司</w:t>
      </w:r>
    </w:p>
    <w:p>
      <w:pPr>
        <w:ind w:firstLine="480"/>
      </w:pPr>
      <w:r>
        <w:rPr/>
        <w:t>我单位已登记并准备参与“</w:t>
      </w:r>
      <w:r>
        <w:rPr/>
        <w:t>广东标准国际标准化专题研究项目</w:t>
      </w:r>
      <w:r>
        <w:rPr/>
        <w:t>”项目（采购项目编号：</w:t>
      </w:r>
      <w:r>
        <w:rPr/>
        <w:t>HYGZ23XZ01C0399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